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11.odttf" ContentType="application/vnd.openxmlformats-officedocument.obfuscatedFont"/>
  <Override PartName="/word/fonts/font12.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widowControl/>
        <w:spacing w:line="580" w:lineRule="exact"/>
        <w:jc w:val="left"/>
        <w:rPr>
          <w:rFonts w:hint="eastAsia" w:ascii="Calibri" w:hAnsi="Calibri" w:eastAsia="仿宋_GB2312"/>
          <w:sz w:val="32"/>
          <w:szCs w:val="32"/>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color w:val="000000" w:themeColor="text1"/>
          <w:sz w:val="96"/>
          <w:szCs w:val="96"/>
        </w:rPr>
      </w:pPr>
      <w:r>
        <w:rPr>
          <w:sz w:val="84"/>
          <w:szCs w:val="84"/>
        </w:rPr>
        <w:t>201</w:t>
      </w:r>
      <w:r>
        <w:rPr>
          <w:rFonts w:hint="eastAsia"/>
          <w:sz w:val="84"/>
          <w:szCs w:val="84"/>
        </w:rPr>
        <w:t>8</w:t>
      </w:r>
      <w:r>
        <w:rPr>
          <w:sz w:val="84"/>
          <w:szCs w:val="84"/>
        </w:rPr>
        <w:t>年度部门决算公开</w:t>
      </w:r>
    </w:p>
    <w:p>
      <w:pPr>
        <w:widowControl/>
        <w:jc w:val="center"/>
        <w:rPr>
          <w:rFonts w:hAnsi="宋体" w:asciiTheme="minorEastAsia" w:eastAsiaTheme="minorEastAsia"/>
          <w:color w:val="002060"/>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hint="eastAsia" w:ascii="楷体" w:hAnsi="楷体" w:eastAsia="宋体" w:cs="楷体"/>
          <w:b/>
          <w:sz w:val="44"/>
          <w:szCs w:val="44"/>
          <w:lang w:eastAsia="zh-CN"/>
        </w:rPr>
        <w:sectPr>
          <w:pgSz w:w="11906" w:h="16838"/>
          <w:pgMar w:top="2098" w:right="1474" w:bottom="1985" w:left="1588" w:header="851" w:footer="992" w:gutter="0"/>
          <w:cols w:space="425" w:num="1"/>
          <w:docGrid w:type="lines" w:linePitch="312" w:charSpace="0"/>
        </w:sectPr>
      </w:pPr>
      <w:r>
        <w:rPr>
          <w:rFonts w:hint="eastAsia"/>
          <w:b/>
          <w:sz w:val="44"/>
          <w:szCs w:val="44"/>
        </w:rPr>
        <w:t>文安县</w:t>
      </w:r>
      <w:r>
        <w:rPr>
          <w:rFonts w:hint="eastAsia"/>
          <w:b/>
          <w:sz w:val="44"/>
          <w:szCs w:val="44"/>
          <w:lang w:eastAsia="zh-CN"/>
        </w:rPr>
        <w:t>人民检察院</w:t>
      </w:r>
    </w:p>
    <w:p>
      <w:pPr>
        <w:spacing w:before="624" w:beforeLines="200" w:after="0" w:line="1000" w:lineRule="exact"/>
        <w:jc w:val="center"/>
        <w:rPr>
          <w:rFonts w:ascii="黑体" w:eastAsia="黑体"/>
          <w:sz w:val="48"/>
          <w:szCs w:val="48"/>
        </w:rPr>
      </w:pPr>
      <w:r>
        <w:rPr>
          <w:rFonts w:hint="eastAsia" w:ascii="黑体" w:eastAsia="黑体"/>
          <w:sz w:val="48"/>
          <w:szCs w:val="48"/>
        </w:rPr>
        <w:t>目    录</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仿宋_GB2312"/>
          <w:sz w:val="24"/>
          <w:szCs w:val="32"/>
        </w:rPr>
      </w:pPr>
      <w:r>
        <w:rPr>
          <w:rFonts w:eastAsia="黑体"/>
          <w:sz w:val="32"/>
          <w:szCs w:val="32"/>
        </w:rPr>
        <w:t>第一部分</w:t>
      </w:r>
      <w:r>
        <w:rPr>
          <w:rFonts w:hint="eastAsia" w:eastAsia="黑体"/>
          <w:sz w:val="32"/>
          <w:szCs w:val="32"/>
          <w:lang w:val="en-US" w:eastAsia="zh-CN"/>
        </w:rPr>
        <w:t xml:space="preserve">  </w:t>
      </w:r>
      <w:r>
        <w:rPr>
          <w:rFonts w:eastAsia="黑体"/>
          <w:sz w:val="32"/>
          <w:szCs w:val="32"/>
        </w:rPr>
        <w:t>部门概况</w:t>
      </w:r>
    </w:p>
    <w:p>
      <w:pPr>
        <w:widowControl/>
        <w:spacing w:line="580" w:lineRule="exact"/>
        <w:ind w:firstLine="1273" w:firstLineChars="398"/>
        <w:rPr>
          <w:rFonts w:eastAsia="仿宋_GB2312"/>
          <w:sz w:val="32"/>
          <w:szCs w:val="32"/>
        </w:rPr>
      </w:pPr>
      <w:r>
        <w:rPr>
          <w:rFonts w:eastAsia="仿宋_GB2312"/>
          <w:sz w:val="32"/>
          <w:szCs w:val="32"/>
        </w:rPr>
        <w:t>一、部门</w:t>
      </w:r>
      <w:r>
        <w:rPr>
          <w:rFonts w:hint="eastAsia" w:eastAsia="仿宋_GB2312"/>
          <w:sz w:val="32"/>
          <w:szCs w:val="32"/>
        </w:rPr>
        <w:t>职责</w:t>
      </w:r>
    </w:p>
    <w:p>
      <w:pPr>
        <w:widowControl/>
        <w:spacing w:line="580" w:lineRule="exact"/>
        <w:ind w:firstLine="1273" w:firstLineChars="398"/>
        <w:rPr>
          <w:rFonts w:eastAsia="仿宋_GB2312"/>
          <w:sz w:val="32"/>
          <w:szCs w:val="32"/>
        </w:rPr>
      </w:pPr>
      <w:r>
        <w:rPr>
          <w:rFonts w:eastAsia="仿宋_GB2312"/>
          <w:sz w:val="32"/>
          <w:szCs w:val="32"/>
        </w:rPr>
        <w:t>二、</w:t>
      </w:r>
      <w:r>
        <w:rPr>
          <w:rFonts w:hint="eastAsia" w:eastAsia="仿宋_GB2312"/>
          <w:sz w:val="32"/>
          <w:szCs w:val="32"/>
        </w:rPr>
        <w:t>机构设置</w:t>
      </w:r>
    </w:p>
    <w:p>
      <w:pPr>
        <w:widowControl/>
        <w:spacing w:line="580" w:lineRule="exact"/>
        <w:ind w:firstLine="640" w:firstLineChars="200"/>
        <w:rPr>
          <w:rFonts w:eastAsia="仿宋_GB2312"/>
          <w:sz w:val="20"/>
          <w:szCs w:val="32"/>
        </w:rPr>
      </w:pPr>
      <w:r>
        <w:rPr>
          <w:rFonts w:eastAsia="黑体"/>
          <w:sz w:val="32"/>
          <w:szCs w:val="32"/>
        </w:rPr>
        <w:t>第二部分   201</w:t>
      </w:r>
      <w:r>
        <w:rPr>
          <w:rFonts w:hint="eastAsia" w:eastAsia="黑体"/>
          <w:sz w:val="32"/>
          <w:szCs w:val="32"/>
        </w:rPr>
        <w:t>8</w:t>
      </w:r>
      <w:r>
        <w:rPr>
          <w:rFonts w:eastAsia="黑体"/>
          <w:sz w:val="32"/>
          <w:szCs w:val="32"/>
        </w:rPr>
        <w:t>年度部门决算报表</w:t>
      </w:r>
      <w:r>
        <w:rPr>
          <w:rFonts w:hint="eastAsia" w:eastAsia="黑体"/>
          <w:sz w:val="32"/>
          <w:szCs w:val="32"/>
        </w:rPr>
        <w:t>（另附表）</w:t>
      </w:r>
    </w:p>
    <w:p>
      <w:pPr>
        <w:widowControl/>
        <w:spacing w:line="580" w:lineRule="exact"/>
        <w:ind w:left="640" w:firstLine="640" w:firstLineChars="200"/>
        <w:rPr>
          <w:rFonts w:eastAsia="仿宋_GB2312"/>
          <w:sz w:val="32"/>
          <w:szCs w:val="32"/>
        </w:rPr>
      </w:pPr>
      <w:r>
        <w:rPr>
          <w:rFonts w:eastAsia="仿宋_GB2312"/>
          <w:sz w:val="32"/>
          <w:szCs w:val="32"/>
        </w:rPr>
        <w:t>一、收入支出决算总表</w:t>
      </w:r>
    </w:p>
    <w:p>
      <w:pPr>
        <w:widowControl/>
        <w:spacing w:line="580" w:lineRule="exact"/>
        <w:ind w:left="640" w:firstLine="640" w:firstLineChars="200"/>
        <w:rPr>
          <w:rFonts w:eastAsia="仿宋_GB2312"/>
          <w:sz w:val="32"/>
          <w:szCs w:val="32"/>
        </w:rPr>
      </w:pPr>
      <w:r>
        <w:rPr>
          <w:rFonts w:eastAsia="仿宋_GB2312"/>
          <w:sz w:val="32"/>
          <w:szCs w:val="32"/>
        </w:rPr>
        <w:t>二、收入决算表</w:t>
      </w:r>
    </w:p>
    <w:p>
      <w:pPr>
        <w:widowControl/>
        <w:spacing w:line="580" w:lineRule="exact"/>
        <w:ind w:left="640" w:firstLine="640" w:firstLineChars="200"/>
        <w:rPr>
          <w:rFonts w:eastAsia="仿宋_GB2312"/>
          <w:sz w:val="32"/>
          <w:szCs w:val="32"/>
        </w:rPr>
      </w:pPr>
      <w:r>
        <w:rPr>
          <w:rFonts w:eastAsia="仿宋_GB2312"/>
          <w:sz w:val="32"/>
          <w:szCs w:val="32"/>
        </w:rPr>
        <w:t>三、支出决算表</w:t>
      </w:r>
    </w:p>
    <w:p>
      <w:pPr>
        <w:widowControl/>
        <w:spacing w:line="580" w:lineRule="exact"/>
        <w:ind w:left="640" w:firstLine="640" w:firstLineChars="200"/>
        <w:rPr>
          <w:rFonts w:eastAsia="仿宋_GB2312"/>
          <w:sz w:val="32"/>
          <w:szCs w:val="32"/>
        </w:rPr>
      </w:pPr>
      <w:r>
        <w:rPr>
          <w:rFonts w:eastAsia="仿宋_GB2312"/>
          <w:sz w:val="32"/>
          <w:szCs w:val="32"/>
        </w:rPr>
        <w:t>四、财政拨款收入支出决算总表</w:t>
      </w:r>
    </w:p>
    <w:p>
      <w:pPr>
        <w:widowControl/>
        <w:spacing w:line="580" w:lineRule="exact"/>
        <w:ind w:left="640" w:firstLine="640" w:firstLineChars="200"/>
        <w:rPr>
          <w:rFonts w:eastAsia="仿宋_GB2312"/>
          <w:sz w:val="32"/>
          <w:szCs w:val="32"/>
        </w:rPr>
      </w:pPr>
      <w:r>
        <w:rPr>
          <w:rFonts w:eastAsia="仿宋_GB2312"/>
          <w:sz w:val="32"/>
          <w:szCs w:val="32"/>
        </w:rPr>
        <w:t>五、一般公共预算财政拨款支出决算表</w:t>
      </w:r>
    </w:p>
    <w:p>
      <w:pPr>
        <w:widowControl/>
        <w:spacing w:line="580" w:lineRule="exact"/>
        <w:ind w:left="640" w:firstLine="640" w:firstLineChars="200"/>
        <w:rPr>
          <w:rFonts w:eastAsia="仿宋_GB2312"/>
          <w:sz w:val="32"/>
          <w:szCs w:val="32"/>
        </w:rPr>
      </w:pPr>
      <w:r>
        <w:rPr>
          <w:rFonts w:eastAsia="仿宋_GB2312"/>
          <w:sz w:val="32"/>
          <w:szCs w:val="32"/>
        </w:rPr>
        <w:t>六、一般公共预算财政拨款基本支出决算表</w:t>
      </w:r>
    </w:p>
    <w:p>
      <w:pPr>
        <w:widowControl/>
        <w:spacing w:line="580" w:lineRule="exact"/>
        <w:ind w:left="640" w:firstLine="640" w:firstLineChars="200"/>
        <w:rPr>
          <w:rFonts w:eastAsia="仿宋_GB2312"/>
          <w:sz w:val="32"/>
          <w:szCs w:val="32"/>
        </w:rPr>
      </w:pPr>
      <w:r>
        <w:rPr>
          <w:rFonts w:eastAsia="仿宋_GB2312"/>
          <w:sz w:val="32"/>
          <w:szCs w:val="32"/>
        </w:rPr>
        <w:t>七、</w:t>
      </w:r>
      <w:r>
        <w:rPr>
          <w:rFonts w:hint="eastAsia" w:eastAsia="仿宋_GB2312"/>
          <w:sz w:val="32"/>
          <w:szCs w:val="32"/>
        </w:rPr>
        <w:t>一般公共预算财政拨款</w:t>
      </w:r>
      <w:r>
        <w:rPr>
          <w:rFonts w:eastAsia="仿宋_GB2312"/>
          <w:sz w:val="32"/>
          <w:szCs w:val="32"/>
        </w:rPr>
        <w:t>“三公”经费</w:t>
      </w:r>
      <w:r>
        <w:rPr>
          <w:rFonts w:hint="eastAsia" w:eastAsia="仿宋_GB2312"/>
          <w:sz w:val="32"/>
          <w:szCs w:val="32"/>
        </w:rPr>
        <w:t>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八、</w:t>
      </w:r>
      <w:r>
        <w:rPr>
          <w:rFonts w:eastAsia="仿宋_GB2312"/>
          <w:sz w:val="32"/>
          <w:szCs w:val="32"/>
        </w:rPr>
        <w:t>政府性基金预算财政拨款收入支出决算表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九</w:t>
      </w:r>
      <w:r>
        <w:rPr>
          <w:rFonts w:eastAsia="仿宋_GB2312"/>
          <w:sz w:val="32"/>
          <w:szCs w:val="32"/>
        </w:rPr>
        <w:t>、国有资本经营预算</w:t>
      </w:r>
      <w:r>
        <w:rPr>
          <w:rFonts w:hint="eastAsia" w:eastAsia="仿宋_GB2312"/>
          <w:sz w:val="32"/>
          <w:szCs w:val="32"/>
        </w:rPr>
        <w:t>财政拨款</w:t>
      </w:r>
      <w:r>
        <w:rPr>
          <w:rFonts w:eastAsia="仿宋_GB2312"/>
          <w:sz w:val="32"/>
          <w:szCs w:val="32"/>
        </w:rPr>
        <w:t>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十</w:t>
      </w:r>
      <w:r>
        <w:rPr>
          <w:rFonts w:eastAsia="仿宋_GB2312"/>
          <w:sz w:val="32"/>
          <w:szCs w:val="32"/>
        </w:rPr>
        <w:t>、政府采购情况表</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r>
        <w:rPr>
          <w:rFonts w:eastAsia="黑体"/>
          <w:sz w:val="32"/>
          <w:szCs w:val="32"/>
        </w:rPr>
        <w:t xml:space="preserve">第三部分  </w:t>
      </w:r>
      <w:r>
        <w:rPr>
          <w:rFonts w:hint="eastAsia" w:eastAsia="黑体"/>
          <w:sz w:val="32"/>
          <w:szCs w:val="32"/>
          <w:lang w:eastAsia="zh-CN"/>
        </w:rPr>
        <w:t>文安县人民检察院</w:t>
      </w:r>
      <w:r>
        <w:rPr>
          <w:rFonts w:eastAsia="黑体"/>
          <w:sz w:val="32"/>
          <w:szCs w:val="32"/>
        </w:rPr>
        <w:t>201</w:t>
      </w:r>
      <w:r>
        <w:rPr>
          <w:rFonts w:hint="eastAsia" w:eastAsia="黑体"/>
          <w:sz w:val="32"/>
          <w:szCs w:val="32"/>
        </w:rPr>
        <w:t>8</w:t>
      </w:r>
      <w:r>
        <w:rPr>
          <w:rFonts w:eastAsia="黑体"/>
          <w:sz w:val="32"/>
          <w:szCs w:val="32"/>
        </w:rPr>
        <w:t>年部门决算情况说明</w:t>
      </w:r>
    </w:p>
    <w:p>
      <w:pPr>
        <w:widowControl/>
        <w:spacing w:line="580" w:lineRule="exact"/>
        <w:ind w:left="640" w:firstLine="640" w:firstLineChars="200"/>
        <w:rPr>
          <w:rFonts w:eastAsia="仿宋_GB2312"/>
          <w:sz w:val="32"/>
          <w:szCs w:val="32"/>
        </w:rPr>
      </w:pPr>
      <w:r>
        <w:rPr>
          <w:rFonts w:eastAsia="仿宋_GB2312"/>
          <w:sz w:val="32"/>
          <w:szCs w:val="32"/>
        </w:rPr>
        <w:t>一、收入支出决算总体情况说明</w:t>
      </w:r>
    </w:p>
    <w:p>
      <w:pPr>
        <w:widowControl/>
        <w:spacing w:line="580" w:lineRule="exact"/>
        <w:ind w:left="640" w:firstLine="640" w:firstLineChars="200"/>
        <w:rPr>
          <w:rFonts w:eastAsia="仿宋_GB2312"/>
          <w:sz w:val="32"/>
          <w:szCs w:val="32"/>
        </w:rPr>
      </w:pPr>
      <w:r>
        <w:rPr>
          <w:rFonts w:eastAsia="仿宋_GB2312"/>
          <w:sz w:val="32"/>
          <w:szCs w:val="32"/>
        </w:rPr>
        <w:t>二、收入决算情况说明</w:t>
      </w:r>
    </w:p>
    <w:p>
      <w:pPr>
        <w:widowControl/>
        <w:spacing w:line="580" w:lineRule="exact"/>
        <w:ind w:left="640" w:firstLine="640" w:firstLineChars="200"/>
        <w:rPr>
          <w:rFonts w:eastAsia="仿宋_GB2312"/>
          <w:sz w:val="32"/>
          <w:szCs w:val="32"/>
        </w:rPr>
      </w:pPr>
      <w:r>
        <w:rPr>
          <w:rFonts w:eastAsia="仿宋_GB2312"/>
          <w:sz w:val="32"/>
          <w:szCs w:val="32"/>
        </w:rPr>
        <w:t>三、支出决算情况说明</w:t>
      </w:r>
    </w:p>
    <w:p>
      <w:pPr>
        <w:widowControl/>
        <w:spacing w:line="580" w:lineRule="exact"/>
        <w:ind w:left="640" w:firstLine="640" w:firstLineChars="200"/>
        <w:rPr>
          <w:rFonts w:eastAsia="仿宋_GB2312"/>
          <w:sz w:val="32"/>
          <w:szCs w:val="32"/>
        </w:rPr>
      </w:pPr>
      <w:r>
        <w:rPr>
          <w:rFonts w:eastAsia="仿宋_GB2312"/>
          <w:sz w:val="32"/>
          <w:szCs w:val="32"/>
        </w:rPr>
        <w:t>四、财政拨款收入支出决算情况说明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五、一般公共预算财政拨款</w:t>
      </w:r>
      <w:r>
        <w:rPr>
          <w:rFonts w:eastAsia="仿宋_GB2312"/>
          <w:sz w:val="32"/>
          <w:szCs w:val="32"/>
        </w:rPr>
        <w:t>“三公”经费支出决算情况说明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六</w:t>
      </w:r>
      <w:r>
        <w:rPr>
          <w:rFonts w:eastAsia="仿宋_GB2312"/>
          <w:sz w:val="32"/>
          <w:szCs w:val="32"/>
        </w:rPr>
        <w:t>、预算绩效情况说明</w:t>
      </w:r>
    </w:p>
    <w:p>
      <w:pPr>
        <w:widowControl/>
        <w:spacing w:line="580" w:lineRule="exact"/>
        <w:ind w:left="640" w:firstLine="640" w:firstLineChars="200"/>
        <w:rPr>
          <w:rFonts w:eastAsia="仿宋_GB2312"/>
          <w:sz w:val="32"/>
          <w:szCs w:val="32"/>
        </w:rPr>
      </w:pPr>
      <w:r>
        <w:rPr>
          <w:rFonts w:hint="eastAsia" w:eastAsia="仿宋_GB2312"/>
          <w:sz w:val="32"/>
          <w:szCs w:val="32"/>
        </w:rPr>
        <w:t>七</w:t>
      </w:r>
      <w:r>
        <w:rPr>
          <w:rFonts w:eastAsia="仿宋_GB2312"/>
          <w:sz w:val="32"/>
          <w:szCs w:val="32"/>
        </w:rPr>
        <w:t>、其他重要事项的说明</w:t>
      </w:r>
    </w:p>
    <w:p>
      <w:pPr>
        <w:widowControl/>
        <w:spacing w:line="580" w:lineRule="exact"/>
        <w:ind w:firstLine="640" w:firstLineChars="200"/>
        <w:rPr>
          <w:rFonts w:eastAsia="黑体"/>
          <w:sz w:val="32"/>
          <w:szCs w:val="32"/>
        </w:rPr>
      </w:pPr>
      <w:r>
        <w:rPr>
          <w:rFonts w:eastAsia="黑体"/>
          <w:sz w:val="32"/>
          <w:szCs w:val="32"/>
        </w:rPr>
        <w:t>第四部分名词解释</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br w:type="page"/>
      </w:r>
    </w:p>
    <w:p/>
    <w:p/>
    <w:p/>
    <w:p/>
    <w:p/>
    <w:p/>
    <w:p>
      <w:pPr>
        <w:widowControl/>
        <w:jc w:val="center"/>
        <w:rPr>
          <w:color w:val="000000" w:themeColor="text1"/>
          <w:sz w:val="96"/>
          <w:szCs w:val="96"/>
        </w:rPr>
      </w:pPr>
      <w:r>
        <w:rPr>
          <w:rFonts w:hint="eastAsia" w:hAnsi="宋体" w:asciiTheme="minorEastAsia" w:eastAsiaTheme="minorEastAsia"/>
          <w:color w:val="000000" w:themeColor="text1"/>
          <w:sz w:val="96"/>
          <w:szCs w:val="96"/>
        </w:rPr>
        <w:t>第一部分  部门概况</w:t>
      </w:r>
    </w:p>
    <w:p/>
    <w:p/>
    <w:p/>
    <w:p/>
    <w:p/>
    <w:p/>
    <w:p/>
    <w:p/>
    <w:p>
      <w:pPr>
        <w:pStyle w:val="2"/>
        <w:spacing w:before="0" w:after="0" w:line="600" w:lineRule="exact"/>
        <w:jc w:val="left"/>
        <w:rPr>
          <w:rFonts w:ascii="黑体" w:eastAsia="黑体" w:cs="黑体" w:hAnsiTheme="minorHAnsi"/>
          <w:b w:val="0"/>
          <w:bCs w:val="0"/>
          <w:kern w:val="0"/>
          <w:sz w:val="32"/>
          <w:szCs w:val="32"/>
        </w:rPr>
      </w:pPr>
      <w:r>
        <w:rPr>
          <w:rFonts w:hint="eastAsia" w:ascii="黑体" w:eastAsia="黑体" w:cs="黑体" w:hAnsiTheme="minorHAnsi"/>
          <w:b w:val="0"/>
          <w:bCs w:val="0"/>
          <w:kern w:val="0"/>
          <w:sz w:val="32"/>
          <w:szCs w:val="32"/>
        </w:rPr>
        <w:t>一、部门职责</w:t>
      </w:r>
    </w:p>
    <w:p>
      <w:pPr>
        <w:pStyle w:val="11"/>
        <w:widowControl/>
        <w:shd w:val="clear" w:color="auto" w:fill="FFFFFF"/>
        <w:spacing w:line="405" w:lineRule="atLeast"/>
        <w:ind w:firstLine="640" w:firstLineChars="200"/>
        <w:rPr>
          <w:rFonts w:ascii="仿宋_GB2312" w:hAnsi="Arial" w:eastAsia="仿宋_GB2312" w:cs="仿宋_GB2312"/>
          <w:color w:val="333333"/>
          <w:sz w:val="32"/>
          <w:szCs w:val="32"/>
          <w:shd w:val="clear" w:color="auto" w:fill="FFFFFF"/>
        </w:rPr>
      </w:pPr>
      <w:r>
        <w:rPr>
          <w:rFonts w:hint="eastAsia" w:ascii="仿宋_GB2312" w:hAnsi="Arial" w:eastAsia="仿宋_GB2312" w:cs="仿宋_GB2312"/>
          <w:color w:val="333333"/>
          <w:sz w:val="32"/>
          <w:szCs w:val="32"/>
          <w:shd w:val="clear" w:color="auto" w:fill="FFFFFF"/>
        </w:rPr>
        <w:t>（一）依法向文安县人民代表大会及其常务委员会提出议案。</w:t>
      </w:r>
    </w:p>
    <w:p>
      <w:pPr>
        <w:pStyle w:val="11"/>
        <w:widowControl/>
        <w:shd w:val="clear" w:color="auto" w:fill="FFFFFF"/>
        <w:spacing w:line="405" w:lineRule="atLeast"/>
        <w:ind w:firstLine="640" w:firstLineChars="200"/>
        <w:rPr>
          <w:rFonts w:ascii="仿宋_GB2312" w:hAnsi="Arial" w:eastAsia="仿宋_GB2312" w:cs="仿宋_GB2312"/>
          <w:color w:val="333333"/>
          <w:sz w:val="32"/>
          <w:szCs w:val="32"/>
          <w:shd w:val="clear" w:color="auto" w:fill="FFFFFF"/>
        </w:rPr>
      </w:pPr>
      <w:r>
        <w:rPr>
          <w:rFonts w:hint="eastAsia" w:ascii="仿宋_GB2312" w:hAnsi="Arial" w:eastAsia="仿宋_GB2312" w:cs="仿宋_GB2312"/>
          <w:color w:val="333333"/>
          <w:sz w:val="32"/>
          <w:szCs w:val="32"/>
          <w:shd w:val="clear" w:color="auto" w:fill="FFFFFF"/>
        </w:rPr>
        <w:t>（二）认真贯彻执行上级检察院的工作部署，结合本县实际，采取相关措施，完成本县检察工作任务。</w:t>
      </w:r>
    </w:p>
    <w:p>
      <w:pPr>
        <w:pStyle w:val="11"/>
        <w:widowControl/>
        <w:shd w:val="clear" w:color="auto" w:fill="FFFFFF"/>
        <w:spacing w:line="405" w:lineRule="atLeast"/>
        <w:ind w:firstLine="640" w:firstLineChars="200"/>
        <w:rPr>
          <w:rFonts w:ascii="仿宋_GB2312" w:hAnsi="Arial" w:eastAsia="仿宋_GB2312" w:cs="仿宋_GB2312"/>
          <w:color w:val="333333"/>
          <w:sz w:val="32"/>
          <w:szCs w:val="32"/>
          <w:shd w:val="clear" w:color="auto" w:fill="FFFFFF"/>
        </w:rPr>
      </w:pPr>
      <w:r>
        <w:rPr>
          <w:rFonts w:hint="eastAsia" w:ascii="仿宋_GB2312" w:hAnsi="Arial" w:eastAsia="仿宋_GB2312" w:cs="仿宋_GB2312"/>
          <w:color w:val="333333"/>
          <w:sz w:val="32"/>
          <w:szCs w:val="32"/>
          <w:shd w:val="clear" w:color="auto" w:fill="FFFFFF"/>
        </w:rPr>
        <w:t>（三）依法对辖区内的贪污贿赂犯罪、国家工作人员渎职犯罪和国家机关工作人员利用职权实施的非法拘禁、刑讯逼供、报复陷害、非法搜查等侵犯公民人身权利与侵犯公民民主权利的犯罪以及国家机关工作人员利用职权实施的其他犯罪案件进行侦查。</w:t>
      </w:r>
    </w:p>
    <w:p>
      <w:pPr>
        <w:pStyle w:val="11"/>
        <w:widowControl/>
        <w:shd w:val="clear" w:color="auto" w:fill="FFFFFF"/>
        <w:spacing w:line="405" w:lineRule="atLeast"/>
        <w:ind w:firstLine="640" w:firstLineChars="200"/>
        <w:rPr>
          <w:rFonts w:ascii="仿宋_GB2312" w:hAnsi="Arial" w:eastAsia="仿宋_GB2312" w:cs="仿宋_GB2312"/>
          <w:color w:val="333333"/>
          <w:sz w:val="32"/>
          <w:szCs w:val="32"/>
          <w:shd w:val="clear" w:color="auto" w:fill="FFFFFF"/>
        </w:rPr>
      </w:pPr>
      <w:r>
        <w:rPr>
          <w:rFonts w:hint="eastAsia" w:ascii="仿宋_GB2312" w:hAnsi="Arial" w:eastAsia="仿宋_GB2312" w:cs="仿宋_GB2312"/>
          <w:color w:val="333333"/>
          <w:sz w:val="32"/>
          <w:szCs w:val="32"/>
          <w:shd w:val="clear" w:color="auto" w:fill="FFFFFF"/>
        </w:rPr>
        <w:t>（四）对辖区内刑事犯罪案件依法审查批捕、提起公诉，依法对公安机关的立案侦查活动实行法律监督，并对本县同级人民法院开庭审理的案件依法派员出席法庭，履行法律监督职责。掌握社会治安动态，参与社会治安综合治理。</w:t>
      </w:r>
    </w:p>
    <w:p>
      <w:pPr>
        <w:pStyle w:val="11"/>
        <w:widowControl/>
        <w:shd w:val="clear" w:color="auto" w:fill="FFFFFF"/>
        <w:spacing w:line="405" w:lineRule="atLeast"/>
        <w:ind w:firstLine="640" w:firstLineChars="200"/>
        <w:rPr>
          <w:rFonts w:ascii="仿宋_GB2312" w:hAnsi="Arial" w:eastAsia="仿宋_GB2312" w:cs="仿宋_GB2312"/>
          <w:color w:val="333333"/>
          <w:sz w:val="32"/>
          <w:szCs w:val="32"/>
          <w:shd w:val="clear" w:color="auto" w:fill="FFFFFF"/>
        </w:rPr>
      </w:pPr>
      <w:r>
        <w:rPr>
          <w:rFonts w:hint="eastAsia" w:ascii="仿宋_GB2312" w:hAnsi="Arial" w:eastAsia="仿宋_GB2312" w:cs="仿宋_GB2312"/>
          <w:color w:val="333333"/>
          <w:sz w:val="32"/>
          <w:szCs w:val="32"/>
          <w:shd w:val="clear" w:color="auto" w:fill="FFFFFF"/>
        </w:rPr>
        <w:t>（五）依法对刑事案件审判实行法律监督，对确有错误的刑事判决、裁定，依法提请上级检察院抗诉。</w:t>
      </w:r>
    </w:p>
    <w:p>
      <w:pPr>
        <w:pStyle w:val="11"/>
        <w:widowControl/>
        <w:shd w:val="clear" w:color="auto" w:fill="FFFFFF"/>
        <w:spacing w:line="405" w:lineRule="atLeast"/>
        <w:ind w:firstLine="640" w:firstLineChars="200"/>
        <w:rPr>
          <w:rFonts w:ascii="仿宋_GB2312" w:hAnsi="Arial" w:eastAsia="仿宋_GB2312" w:cs="仿宋_GB2312"/>
          <w:color w:val="333333"/>
          <w:sz w:val="32"/>
          <w:szCs w:val="32"/>
          <w:shd w:val="clear" w:color="auto" w:fill="FFFFFF"/>
        </w:rPr>
      </w:pPr>
      <w:r>
        <w:rPr>
          <w:rFonts w:hint="eastAsia" w:ascii="仿宋_GB2312" w:hAnsi="Arial" w:eastAsia="仿宋_GB2312" w:cs="仿宋_GB2312"/>
          <w:color w:val="333333"/>
          <w:sz w:val="32"/>
          <w:szCs w:val="32"/>
          <w:shd w:val="clear" w:color="auto" w:fill="FFFFFF"/>
        </w:rPr>
        <w:t>（六）依法对民事、行政审判实行法律监督，受理审查单位、公民不服人民法院已经发生法律效力的民事、经济、行政判决、裁定的案件，对确有错误的判决和裁定，依法建议、提请上级院抗诉。</w:t>
      </w:r>
    </w:p>
    <w:p>
      <w:pPr>
        <w:pStyle w:val="11"/>
        <w:widowControl/>
        <w:shd w:val="clear" w:color="auto" w:fill="FFFFFF"/>
        <w:spacing w:line="405" w:lineRule="atLeast"/>
        <w:ind w:firstLine="640" w:firstLineChars="200"/>
        <w:rPr>
          <w:rFonts w:ascii="仿宋_GB2312" w:hAnsi="Arial" w:eastAsia="仿宋_GB2312" w:cs="仿宋_GB2312"/>
          <w:color w:val="333333"/>
          <w:sz w:val="32"/>
          <w:szCs w:val="32"/>
          <w:shd w:val="clear" w:color="auto" w:fill="FFFFFF"/>
        </w:rPr>
      </w:pPr>
      <w:r>
        <w:rPr>
          <w:rFonts w:hint="eastAsia" w:ascii="仿宋_GB2312" w:hAnsi="Arial" w:eastAsia="仿宋_GB2312" w:cs="仿宋_GB2312"/>
          <w:color w:val="333333"/>
          <w:sz w:val="32"/>
          <w:szCs w:val="32"/>
          <w:shd w:val="clear" w:color="auto" w:fill="FFFFFF"/>
        </w:rPr>
        <w:t>（七）依法对执行机关执行刑罚活动是否合法实行监督。依法对看守所的监管活动进行监督，并负责本辖区内监外服刑罪犯的考察工作。</w:t>
      </w:r>
    </w:p>
    <w:p>
      <w:pPr>
        <w:pStyle w:val="11"/>
        <w:widowControl/>
        <w:shd w:val="clear" w:color="auto" w:fill="FFFFFF"/>
        <w:spacing w:line="405" w:lineRule="atLeast"/>
        <w:ind w:firstLine="640" w:firstLineChars="200"/>
        <w:rPr>
          <w:rFonts w:ascii="仿宋_GB2312" w:hAnsi="Arial" w:eastAsia="仿宋_GB2312" w:cs="仿宋_GB2312"/>
          <w:color w:val="333333"/>
          <w:sz w:val="32"/>
          <w:szCs w:val="32"/>
          <w:shd w:val="clear" w:color="auto" w:fill="FFFFFF"/>
        </w:rPr>
      </w:pPr>
      <w:r>
        <w:rPr>
          <w:rFonts w:hint="eastAsia" w:ascii="仿宋_GB2312" w:hAnsi="Arial" w:eastAsia="仿宋_GB2312" w:cs="仿宋_GB2312"/>
          <w:color w:val="333333"/>
          <w:sz w:val="32"/>
          <w:szCs w:val="32"/>
          <w:shd w:val="clear" w:color="auto" w:fill="FFFFFF"/>
        </w:rPr>
        <w:t>（八）受理单位和个人的报案、控申诉和举报以及犯罪嫌疑人的自首，办理举报案件、刑事赔偿工作。</w:t>
      </w:r>
    </w:p>
    <w:p>
      <w:pPr>
        <w:pStyle w:val="11"/>
        <w:widowControl/>
        <w:shd w:val="clear" w:color="auto" w:fill="FFFFFF"/>
        <w:spacing w:line="405" w:lineRule="atLeast"/>
        <w:ind w:firstLine="640" w:firstLineChars="200"/>
        <w:rPr>
          <w:rFonts w:ascii="仿宋_GB2312" w:hAnsi="Arial" w:eastAsia="仿宋_GB2312" w:cs="仿宋_GB2312"/>
          <w:color w:val="333333"/>
          <w:sz w:val="32"/>
          <w:szCs w:val="32"/>
          <w:shd w:val="clear" w:color="auto" w:fill="FFFFFF"/>
        </w:rPr>
      </w:pPr>
      <w:r>
        <w:rPr>
          <w:rFonts w:hint="eastAsia" w:ascii="仿宋_GB2312" w:hAnsi="Arial" w:eastAsia="仿宋_GB2312" w:cs="仿宋_GB2312"/>
          <w:color w:val="333333"/>
          <w:sz w:val="32"/>
          <w:szCs w:val="32"/>
          <w:shd w:val="clear" w:color="auto" w:fill="FFFFFF"/>
        </w:rPr>
        <w:t>（九）对国家机关工作人员职务犯罪预防工作进行研究并提出职务犯罪的预防对策，负责职务犯罪预防工作的法制宣传。</w:t>
      </w:r>
    </w:p>
    <w:p>
      <w:pPr>
        <w:pStyle w:val="11"/>
        <w:widowControl/>
        <w:shd w:val="clear" w:color="auto" w:fill="FFFFFF"/>
        <w:spacing w:line="405" w:lineRule="atLeast"/>
        <w:ind w:firstLine="640" w:firstLineChars="200"/>
        <w:rPr>
          <w:rFonts w:ascii="仿宋_GB2312" w:hAnsi="Arial" w:eastAsia="仿宋_GB2312" w:cs="仿宋_GB2312"/>
          <w:color w:val="333333"/>
          <w:sz w:val="32"/>
          <w:szCs w:val="32"/>
          <w:shd w:val="clear" w:color="auto" w:fill="FFFFFF"/>
        </w:rPr>
      </w:pPr>
      <w:r>
        <w:rPr>
          <w:rFonts w:hint="eastAsia" w:ascii="仿宋_GB2312" w:hAnsi="Arial" w:eastAsia="仿宋_GB2312" w:cs="仿宋_GB2312"/>
          <w:color w:val="333333"/>
          <w:sz w:val="32"/>
          <w:szCs w:val="32"/>
          <w:shd w:val="clear" w:color="auto" w:fill="FFFFFF"/>
        </w:rPr>
        <w:t>（十）办理检察技术工作和物证检验、鉴定、审核工作，负责本院计算机网络的建设和管理。</w:t>
      </w:r>
    </w:p>
    <w:p>
      <w:pPr>
        <w:pStyle w:val="11"/>
        <w:widowControl/>
        <w:shd w:val="clear" w:color="auto" w:fill="FFFFFF"/>
        <w:spacing w:line="405" w:lineRule="atLeast"/>
        <w:ind w:firstLine="640" w:firstLineChars="200"/>
        <w:rPr>
          <w:rFonts w:ascii="仿宋_GB2312" w:hAnsi="Arial" w:eastAsia="仿宋_GB2312" w:cs="仿宋_GB2312"/>
          <w:color w:val="333333"/>
          <w:sz w:val="32"/>
          <w:szCs w:val="32"/>
          <w:shd w:val="clear" w:color="auto" w:fill="FFFFFF"/>
        </w:rPr>
      </w:pPr>
      <w:r>
        <w:rPr>
          <w:rFonts w:hint="eastAsia" w:ascii="仿宋_GB2312" w:hAnsi="Arial" w:eastAsia="仿宋_GB2312" w:cs="仿宋_GB2312"/>
          <w:color w:val="333333"/>
          <w:sz w:val="32"/>
          <w:szCs w:val="32"/>
          <w:shd w:val="clear" w:color="auto" w:fill="FFFFFF"/>
        </w:rPr>
        <w:t>（十一）对检察工作中具体应用法律的问题进行研究，适时提出立法和司法建议，为领导机关决策提供科学依据。制定本院检察工作的规定、办法和实施细则。</w:t>
      </w:r>
    </w:p>
    <w:p>
      <w:pPr>
        <w:pStyle w:val="11"/>
        <w:widowControl/>
        <w:shd w:val="clear" w:color="auto" w:fill="FFFFFF"/>
        <w:spacing w:line="405" w:lineRule="atLeast"/>
        <w:ind w:firstLine="640" w:firstLineChars="200"/>
        <w:rPr>
          <w:rFonts w:ascii="仿宋_GB2312" w:hAnsi="Arial" w:eastAsia="仿宋_GB2312" w:cs="仿宋_GB2312"/>
          <w:color w:val="333333"/>
          <w:sz w:val="32"/>
          <w:szCs w:val="32"/>
          <w:shd w:val="clear" w:color="auto" w:fill="FFFFFF"/>
        </w:rPr>
      </w:pPr>
      <w:r>
        <w:rPr>
          <w:rFonts w:hint="eastAsia" w:ascii="仿宋_GB2312" w:hAnsi="Arial" w:eastAsia="仿宋_GB2312" w:cs="仿宋_GB2312"/>
          <w:color w:val="333333"/>
          <w:sz w:val="32"/>
          <w:szCs w:val="32"/>
          <w:shd w:val="clear" w:color="auto" w:fill="FFFFFF"/>
        </w:rPr>
        <w:t>（十二）负责检察机关的队伍建设和思想政治工作。依法管理检察官和其他检察人员的工作，提请文安县人民代表大会常务委员会决定任免本院的副检察长、检察委员会委员、检察员，依法任免助理检察员、书记员和司法警察。</w:t>
      </w:r>
    </w:p>
    <w:p>
      <w:pPr>
        <w:pStyle w:val="11"/>
        <w:widowControl/>
        <w:shd w:val="clear" w:color="auto" w:fill="FFFFFF"/>
        <w:spacing w:line="405" w:lineRule="atLeast"/>
        <w:ind w:firstLine="640" w:firstLineChars="200"/>
        <w:rPr>
          <w:rFonts w:ascii="仿宋_GB2312" w:hAnsi="Arial" w:eastAsia="仿宋_GB2312" w:cs="仿宋_GB2312"/>
          <w:color w:val="333333"/>
          <w:sz w:val="32"/>
          <w:szCs w:val="32"/>
          <w:shd w:val="clear" w:color="auto" w:fill="FFFFFF"/>
        </w:rPr>
      </w:pPr>
      <w:r>
        <w:rPr>
          <w:rFonts w:hint="eastAsia" w:ascii="仿宋_GB2312" w:hAnsi="Arial" w:eastAsia="仿宋_GB2312" w:cs="仿宋_GB2312"/>
          <w:color w:val="333333"/>
          <w:sz w:val="32"/>
          <w:szCs w:val="32"/>
          <w:shd w:val="clear" w:color="auto" w:fill="FFFFFF"/>
        </w:rPr>
        <w:t>（十三）协助县主管部门管理人民检察院的机构设置、人员编制工作。</w:t>
      </w:r>
    </w:p>
    <w:p>
      <w:pPr>
        <w:pStyle w:val="11"/>
        <w:widowControl/>
        <w:shd w:val="clear" w:color="auto" w:fill="FFFFFF"/>
        <w:spacing w:line="405" w:lineRule="atLeast"/>
        <w:ind w:firstLine="640" w:firstLineChars="200"/>
        <w:rPr>
          <w:rFonts w:ascii="仿宋_GB2312" w:hAnsi="Arial" w:eastAsia="仿宋_GB2312" w:cs="仿宋_GB2312"/>
          <w:color w:val="333333"/>
          <w:sz w:val="32"/>
          <w:szCs w:val="32"/>
          <w:shd w:val="clear" w:color="auto" w:fill="FFFFFF"/>
        </w:rPr>
      </w:pPr>
      <w:r>
        <w:rPr>
          <w:rFonts w:hint="eastAsia" w:ascii="仿宋_GB2312" w:hAnsi="Arial" w:eastAsia="仿宋_GB2312" w:cs="仿宋_GB2312"/>
          <w:color w:val="333333"/>
          <w:sz w:val="32"/>
          <w:szCs w:val="32"/>
          <w:shd w:val="clear" w:color="auto" w:fill="FFFFFF"/>
        </w:rPr>
        <w:t>（十四）组织本院检察人员的教育培训工作。</w:t>
      </w:r>
    </w:p>
    <w:p>
      <w:pPr>
        <w:pStyle w:val="11"/>
        <w:widowControl/>
        <w:shd w:val="clear" w:color="auto" w:fill="FFFFFF"/>
        <w:spacing w:line="405" w:lineRule="atLeast"/>
        <w:ind w:firstLine="640" w:firstLineChars="200"/>
        <w:rPr>
          <w:rFonts w:ascii="仿宋_GB2312" w:hAnsi="Arial" w:eastAsia="仿宋_GB2312" w:cs="仿宋_GB2312"/>
          <w:color w:val="333333"/>
          <w:sz w:val="32"/>
          <w:szCs w:val="32"/>
          <w:shd w:val="clear" w:color="auto" w:fill="FFFFFF"/>
        </w:rPr>
      </w:pPr>
      <w:r>
        <w:rPr>
          <w:rFonts w:hint="eastAsia" w:ascii="仿宋_GB2312" w:hAnsi="Arial" w:eastAsia="仿宋_GB2312" w:cs="仿宋_GB2312"/>
          <w:color w:val="333333"/>
          <w:sz w:val="32"/>
          <w:szCs w:val="32"/>
          <w:shd w:val="clear" w:color="auto" w:fill="FFFFFF"/>
        </w:rPr>
        <w:t>（十五）管理本院的计划财务装备工作和机关工作人员。</w:t>
      </w:r>
    </w:p>
    <w:p>
      <w:pPr>
        <w:pStyle w:val="11"/>
        <w:widowControl/>
        <w:shd w:val="clear" w:color="auto" w:fill="FFFFFF"/>
        <w:spacing w:line="405" w:lineRule="atLeast"/>
        <w:ind w:firstLine="640" w:firstLineChars="200"/>
        <w:rPr>
          <w:rStyle w:val="16"/>
          <w:rFonts w:ascii="仿宋" w:hAnsi="仿宋" w:eastAsia="仿宋" w:cs="仿宋"/>
          <w:b w:val="0"/>
          <w:bCs/>
          <w:kern w:val="0"/>
          <w:sz w:val="32"/>
          <w:szCs w:val="32"/>
        </w:rPr>
      </w:pPr>
      <w:r>
        <w:rPr>
          <w:rFonts w:hint="eastAsia" w:ascii="仿宋_GB2312" w:hAnsi="Arial" w:eastAsia="仿宋_GB2312" w:cs="仿宋_GB2312"/>
          <w:color w:val="333333"/>
          <w:sz w:val="32"/>
          <w:szCs w:val="32"/>
          <w:shd w:val="clear" w:color="auto" w:fill="FFFFFF"/>
        </w:rPr>
        <w:t>（十六）负责其他应当由文安县人民检察院承办的事项。</w:t>
      </w:r>
    </w:p>
    <w:p>
      <w:pPr>
        <w:pStyle w:val="2"/>
        <w:spacing w:before="0" w:after="0" w:line="600" w:lineRule="exact"/>
        <w:jc w:val="left"/>
        <w:rPr>
          <w:rFonts w:ascii="黑体" w:eastAsia="黑体" w:cs="黑体" w:hAnsiTheme="minorHAnsi"/>
          <w:b w:val="0"/>
          <w:bCs w:val="0"/>
          <w:kern w:val="0"/>
          <w:sz w:val="32"/>
          <w:szCs w:val="32"/>
        </w:rPr>
      </w:pPr>
      <w:r>
        <w:rPr>
          <w:rFonts w:hint="eastAsia" w:ascii="黑体" w:eastAsia="黑体" w:cs="黑体" w:hAnsiTheme="minorHAnsi"/>
          <w:b w:val="0"/>
          <w:bCs w:val="0"/>
          <w:kern w:val="0"/>
          <w:sz w:val="32"/>
          <w:szCs w:val="32"/>
        </w:rPr>
        <w:t>二、机构设置</w:t>
      </w:r>
    </w:p>
    <w:p>
      <w:pPr>
        <w:pStyle w:val="11"/>
        <w:widowControl/>
        <w:shd w:val="clear" w:color="auto" w:fill="FFFFFF"/>
        <w:spacing w:line="405" w:lineRule="atLeast"/>
        <w:jc w:val="both"/>
        <w:rPr>
          <w:rFonts w:hint="eastAsia" w:ascii="黑体" w:hAnsi="Arial" w:eastAsia="黑体" w:cs="仿宋_GB2312"/>
          <w:color w:val="333333"/>
          <w:sz w:val="30"/>
          <w:szCs w:val="30"/>
          <w:shd w:val="clear" w:color="auto" w:fill="FFFFFF"/>
        </w:rPr>
      </w:pPr>
      <w:r>
        <w:rPr>
          <w:rFonts w:hint="eastAsia" w:ascii="仿宋_GB2312" w:hAnsi="Calibri" w:eastAsia="仿宋_GB2312" w:cs="ArialUnicodeMS"/>
          <w:kern w:val="0"/>
          <w:sz w:val="32"/>
          <w:szCs w:val="32"/>
        </w:rPr>
        <w:t>从决算编报单位构成看，纳入2018 年度本部门决算汇编范围的独立核算单位（以下简称“单位”）共1个，具体情况如下：</w:t>
      </w:r>
    </w:p>
    <w:p>
      <w:pPr>
        <w:pStyle w:val="11"/>
        <w:widowControl/>
        <w:shd w:val="clear" w:color="auto" w:fill="FFFFFF"/>
        <w:spacing w:line="405" w:lineRule="atLeast"/>
        <w:jc w:val="center"/>
        <w:rPr>
          <w:rFonts w:ascii="黑体" w:hAnsi="Arial" w:eastAsia="黑体" w:cs="仿宋_GB2312"/>
          <w:color w:val="333333"/>
          <w:sz w:val="30"/>
          <w:szCs w:val="30"/>
          <w:shd w:val="clear" w:color="auto" w:fill="FFFFFF"/>
        </w:rPr>
      </w:pPr>
      <w:r>
        <w:rPr>
          <w:rFonts w:hint="eastAsia" w:ascii="黑体" w:hAnsi="Arial" w:eastAsia="黑体" w:cs="仿宋_GB2312"/>
          <w:color w:val="333333"/>
          <w:sz w:val="30"/>
          <w:szCs w:val="30"/>
          <w:shd w:val="clear" w:color="auto" w:fill="FFFFFF"/>
        </w:rPr>
        <w:t>文安县人民检察院部门机构设置情况</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1803"/>
        <w:gridCol w:w="1804"/>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40" w:type="dxa"/>
            <w:noWrap w:val="0"/>
            <w:vAlign w:val="center"/>
          </w:tcPr>
          <w:p>
            <w:pPr>
              <w:pStyle w:val="11"/>
              <w:widowControl/>
              <w:spacing w:line="405" w:lineRule="atLeast"/>
              <w:jc w:val="center"/>
              <w:rPr>
                <w:rFonts w:ascii="仿宋_GB2312" w:hAnsi="Arial" w:eastAsia="仿宋_GB2312" w:cs="Arial"/>
                <w:b/>
                <w:color w:val="333333"/>
                <w:shd w:val="clear" w:color="auto" w:fill="FFFFFF"/>
              </w:rPr>
            </w:pPr>
            <w:r>
              <w:rPr>
                <w:rFonts w:hint="eastAsia" w:ascii="仿宋_GB2312" w:hAnsi="Arial" w:eastAsia="仿宋_GB2312" w:cs="Arial"/>
                <w:b/>
                <w:color w:val="333333"/>
                <w:shd w:val="clear" w:color="auto" w:fill="FFFFFF"/>
              </w:rPr>
              <w:t>单位名称</w:t>
            </w:r>
          </w:p>
        </w:tc>
        <w:tc>
          <w:tcPr>
            <w:tcW w:w="1803" w:type="dxa"/>
            <w:noWrap w:val="0"/>
            <w:vAlign w:val="center"/>
          </w:tcPr>
          <w:p>
            <w:pPr>
              <w:pStyle w:val="11"/>
              <w:widowControl/>
              <w:spacing w:line="405" w:lineRule="atLeast"/>
              <w:jc w:val="center"/>
              <w:rPr>
                <w:rFonts w:ascii="仿宋_GB2312" w:hAnsi="Arial" w:eastAsia="仿宋_GB2312" w:cs="Arial"/>
                <w:b/>
                <w:color w:val="333333"/>
                <w:shd w:val="clear" w:color="auto" w:fill="FFFFFF"/>
              </w:rPr>
            </w:pPr>
            <w:r>
              <w:rPr>
                <w:rFonts w:hint="eastAsia" w:ascii="仿宋_GB2312" w:hAnsi="Arial" w:eastAsia="仿宋_GB2312" w:cs="Arial"/>
                <w:b/>
                <w:color w:val="333333"/>
                <w:shd w:val="clear" w:color="auto" w:fill="FFFFFF"/>
              </w:rPr>
              <w:t>单位性质</w:t>
            </w:r>
          </w:p>
        </w:tc>
        <w:tc>
          <w:tcPr>
            <w:tcW w:w="1804" w:type="dxa"/>
            <w:noWrap w:val="0"/>
            <w:vAlign w:val="center"/>
          </w:tcPr>
          <w:p>
            <w:pPr>
              <w:pStyle w:val="11"/>
              <w:widowControl/>
              <w:spacing w:line="405" w:lineRule="atLeast"/>
              <w:jc w:val="center"/>
              <w:rPr>
                <w:rFonts w:ascii="仿宋_GB2312" w:hAnsi="Arial" w:eastAsia="仿宋_GB2312" w:cs="Arial"/>
                <w:b/>
                <w:color w:val="333333"/>
                <w:shd w:val="clear" w:color="auto" w:fill="FFFFFF"/>
              </w:rPr>
            </w:pPr>
            <w:r>
              <w:rPr>
                <w:rFonts w:hint="eastAsia" w:ascii="仿宋_GB2312" w:hAnsi="Arial" w:eastAsia="仿宋_GB2312" w:cs="Arial"/>
                <w:b/>
                <w:color w:val="333333"/>
                <w:shd w:val="clear" w:color="auto" w:fill="FFFFFF"/>
              </w:rPr>
              <w:t>单位规格</w:t>
            </w:r>
          </w:p>
        </w:tc>
        <w:tc>
          <w:tcPr>
            <w:tcW w:w="2333" w:type="dxa"/>
            <w:noWrap w:val="0"/>
            <w:vAlign w:val="center"/>
          </w:tcPr>
          <w:p>
            <w:pPr>
              <w:pStyle w:val="11"/>
              <w:widowControl/>
              <w:spacing w:line="405" w:lineRule="atLeast"/>
              <w:jc w:val="center"/>
              <w:rPr>
                <w:rFonts w:ascii="仿宋_GB2312" w:hAnsi="Arial" w:eastAsia="仿宋_GB2312" w:cs="Arial"/>
                <w:b/>
                <w:color w:val="333333"/>
                <w:shd w:val="clear" w:color="auto" w:fill="FFFFFF"/>
              </w:rPr>
            </w:pPr>
            <w:r>
              <w:rPr>
                <w:rFonts w:hint="eastAsia" w:ascii="仿宋_GB2312" w:hAnsi="Arial" w:eastAsia="仿宋_GB2312" w:cs="Arial"/>
                <w:b/>
                <w:color w:val="333333"/>
                <w:shd w:val="clear" w:color="auto" w:fill="FFFFFF"/>
              </w:rPr>
              <w:t>经费保障形式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40" w:type="dxa"/>
            <w:noWrap w:val="0"/>
            <w:vAlign w:val="center"/>
          </w:tcPr>
          <w:p>
            <w:pPr>
              <w:pStyle w:val="11"/>
              <w:widowControl/>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文安县人民检察院</w:t>
            </w:r>
          </w:p>
        </w:tc>
        <w:tc>
          <w:tcPr>
            <w:tcW w:w="1803" w:type="dxa"/>
            <w:noWrap w:val="0"/>
            <w:vAlign w:val="center"/>
          </w:tcPr>
          <w:p>
            <w:pPr>
              <w:pStyle w:val="11"/>
              <w:widowControl/>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行政</w:t>
            </w:r>
          </w:p>
        </w:tc>
        <w:tc>
          <w:tcPr>
            <w:tcW w:w="1804" w:type="dxa"/>
            <w:noWrap w:val="0"/>
            <w:vAlign w:val="center"/>
          </w:tcPr>
          <w:p>
            <w:pPr>
              <w:pStyle w:val="11"/>
              <w:widowControl/>
              <w:spacing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副处级</w:t>
            </w:r>
          </w:p>
        </w:tc>
        <w:tc>
          <w:tcPr>
            <w:tcW w:w="2333" w:type="dxa"/>
            <w:noWrap w:val="0"/>
            <w:vAlign w:val="center"/>
          </w:tcPr>
          <w:p>
            <w:pPr>
              <w:pStyle w:val="11"/>
              <w:widowControl/>
              <w:spacing w:line="405" w:lineRule="atLeast"/>
              <w:jc w:val="center"/>
              <w:rPr>
                <w:rFonts w:ascii="仿宋_GB2312" w:hAnsi="Arial" w:eastAsia="仿宋_GB2312" w:cs="Arial"/>
                <w:color w:val="333333"/>
                <w:sz w:val="21"/>
                <w:szCs w:val="21"/>
                <w:shd w:val="clear" w:color="auto" w:fill="FFFFFF"/>
              </w:rPr>
            </w:pPr>
            <w:r>
              <w:rPr>
                <w:rFonts w:hint="eastAsia" w:ascii="仿宋_GB2312" w:hAnsi="Arial" w:eastAsia="仿宋_GB2312" w:cs="Arial"/>
                <w:color w:val="333333"/>
                <w:sz w:val="21"/>
                <w:szCs w:val="21"/>
                <w:shd w:val="clear" w:color="auto" w:fill="FFFFFF"/>
              </w:rPr>
              <w:t>财政拨款</w:t>
            </w:r>
          </w:p>
        </w:tc>
      </w:tr>
    </w:tbl>
    <w:p>
      <w:pPr>
        <w:widowControl/>
        <w:spacing w:line="1200" w:lineRule="exact"/>
        <w:jc w:val="center"/>
        <w:rPr>
          <w:rFonts w:hAnsi="宋体" w:asciiTheme="minorEastAsia" w:eastAsiaTheme="minorEastAsia"/>
          <w:color w:val="000000" w:themeColor="text1"/>
          <w:sz w:val="72"/>
          <w:szCs w:val="96"/>
        </w:rPr>
      </w:pPr>
    </w:p>
    <w:p>
      <w:pPr>
        <w:widowControl/>
        <w:spacing w:line="1200" w:lineRule="exact"/>
        <w:jc w:val="center"/>
        <w:rPr>
          <w:rFonts w:hAnsi="宋体" w:asciiTheme="minorEastAsia" w:eastAsiaTheme="minorEastAsia"/>
          <w:color w:val="000000" w:themeColor="text1"/>
          <w:sz w:val="72"/>
          <w:szCs w:val="96"/>
        </w:rPr>
      </w:pPr>
    </w:p>
    <w:p>
      <w:pPr>
        <w:widowControl/>
        <w:spacing w:line="1200" w:lineRule="exact"/>
        <w:jc w:val="center"/>
        <w:rPr>
          <w:rFonts w:hAnsi="宋体" w:asciiTheme="minorEastAsia" w:eastAsiaTheme="minorEastAsia"/>
          <w:color w:val="000000" w:themeColor="text1"/>
          <w:sz w:val="72"/>
          <w:szCs w:val="96"/>
        </w:rPr>
      </w:pPr>
    </w:p>
    <w:p>
      <w:pPr>
        <w:widowControl/>
        <w:spacing w:line="1200" w:lineRule="exact"/>
        <w:jc w:val="center"/>
        <w:rPr>
          <w:rFonts w:hAnsi="宋体" w:asciiTheme="minorEastAsia" w:eastAsiaTheme="minorEastAsia"/>
          <w:color w:val="000000" w:themeColor="text1"/>
          <w:sz w:val="72"/>
          <w:szCs w:val="96"/>
        </w:rPr>
      </w:pPr>
    </w:p>
    <w:p>
      <w:pPr>
        <w:widowControl/>
        <w:spacing w:line="1200" w:lineRule="exact"/>
        <w:jc w:val="center"/>
        <w:rPr>
          <w:rFonts w:hint="eastAsia" w:hAnsi="宋体" w:asciiTheme="minorEastAsia" w:eastAsiaTheme="minorEastAsia"/>
          <w:color w:val="000000" w:themeColor="text1"/>
          <w:sz w:val="72"/>
          <w:szCs w:val="96"/>
        </w:rPr>
      </w:pPr>
    </w:p>
    <w:p>
      <w:pPr>
        <w:widowControl/>
        <w:spacing w:line="1200" w:lineRule="exact"/>
        <w:jc w:val="center"/>
        <w:rPr>
          <w:rFonts w:hint="eastAsia" w:hAnsi="宋体" w:asciiTheme="minorEastAsia" w:eastAsiaTheme="minorEastAsia"/>
          <w:color w:val="000000" w:themeColor="text1"/>
          <w:sz w:val="72"/>
          <w:szCs w:val="96"/>
        </w:rPr>
      </w:pPr>
    </w:p>
    <w:p>
      <w:pPr>
        <w:widowControl/>
        <w:spacing w:line="1200" w:lineRule="exact"/>
        <w:jc w:val="center"/>
        <w:rPr>
          <w:rFonts w:hint="eastAsia" w:hAnsi="宋体" w:asciiTheme="minorEastAsia" w:eastAsiaTheme="minorEastAsia"/>
          <w:color w:val="000000" w:themeColor="text1"/>
          <w:sz w:val="72"/>
          <w:szCs w:val="96"/>
        </w:rPr>
      </w:pPr>
    </w:p>
    <w:p>
      <w:pPr>
        <w:widowControl/>
        <w:spacing w:line="1200" w:lineRule="exact"/>
        <w:jc w:val="center"/>
        <w:rPr>
          <w:rFonts w:hAnsi="宋体" w:asciiTheme="minorEastAsia" w:eastAsiaTheme="minorEastAsia"/>
          <w:color w:val="000000" w:themeColor="text1"/>
          <w:sz w:val="72"/>
          <w:szCs w:val="96"/>
        </w:rPr>
      </w:pPr>
      <w:r>
        <w:rPr>
          <w:rFonts w:hint="eastAsia" w:hAnsi="宋体" w:asciiTheme="minorEastAsia" w:eastAsiaTheme="minorEastAsia"/>
          <w:color w:val="000000" w:themeColor="text1"/>
          <w:sz w:val="72"/>
          <w:szCs w:val="96"/>
        </w:rPr>
        <w:t>第二部分</w:t>
      </w:r>
    </w:p>
    <w:p>
      <w:pPr>
        <w:widowControl/>
        <w:spacing w:line="1200" w:lineRule="exact"/>
        <w:jc w:val="center"/>
        <w:rPr>
          <w:rFonts w:hint="eastAsia" w:hAnsi="宋体" w:asciiTheme="minorEastAsia" w:eastAsiaTheme="minorEastAsia"/>
          <w:color w:val="000000" w:themeColor="text1"/>
          <w:sz w:val="72"/>
          <w:szCs w:val="96"/>
        </w:rPr>
      </w:pPr>
      <w:r>
        <w:rPr>
          <w:rFonts w:hint="eastAsia" w:hAnsi="宋体" w:asciiTheme="minorEastAsia" w:eastAsiaTheme="minorEastAsia"/>
          <w:color w:val="000000" w:themeColor="text1"/>
          <w:sz w:val="72"/>
          <w:szCs w:val="96"/>
        </w:rPr>
        <w:t>2018年度部门决算报表</w:t>
      </w:r>
    </w:p>
    <w:p>
      <w:pPr>
        <w:widowControl/>
        <w:spacing w:line="1200" w:lineRule="exact"/>
        <w:jc w:val="center"/>
        <w:rPr>
          <w:rFonts w:hint="eastAsia" w:hAnsi="宋体" w:asciiTheme="minorEastAsia" w:eastAsiaTheme="minorEastAsia"/>
          <w:color w:val="000000" w:themeColor="text1"/>
          <w:sz w:val="72"/>
          <w:szCs w:val="96"/>
          <w:lang w:eastAsia="zh-CN"/>
        </w:rPr>
      </w:pPr>
      <w:r>
        <w:rPr>
          <w:rFonts w:hint="eastAsia" w:hAnsi="宋体" w:asciiTheme="minorEastAsia" w:eastAsiaTheme="minorEastAsia"/>
          <w:color w:val="000000" w:themeColor="text1"/>
          <w:sz w:val="72"/>
          <w:szCs w:val="96"/>
          <w:lang w:eastAsia="zh-CN"/>
        </w:rPr>
        <w:t>（另附表）</w:t>
      </w:r>
    </w:p>
    <w:p>
      <w:pPr>
        <w:widowControl/>
        <w:spacing w:line="560" w:lineRule="exact"/>
        <w:jc w:val="center"/>
        <w:rPr>
          <w:rFonts w:ascii="黑体" w:eastAsia="黑体" w:cs="MS-UIGothic,Bold" w:hAnsiTheme="minorHAnsi"/>
          <w:bCs/>
          <w:kern w:val="0"/>
          <w:sz w:val="52"/>
          <w:szCs w:val="52"/>
        </w:rPr>
      </w:pPr>
    </w:p>
    <w:p>
      <w:pPr>
        <w:widowControl/>
        <w:spacing w:line="560" w:lineRule="exact"/>
        <w:jc w:val="center"/>
        <w:rPr>
          <w:rFonts w:ascii="黑体" w:eastAsia="黑体" w:cs="MS-UIGothic,Bold" w:hAnsiTheme="minorHAnsi"/>
          <w:bCs/>
          <w:kern w:val="0"/>
          <w:sz w:val="52"/>
          <w:szCs w:val="52"/>
        </w:rPr>
      </w:pPr>
    </w:p>
    <w:p>
      <w:pPr>
        <w:rPr>
          <w:rFonts w:ascii="宋体" w:hAnsi="宋体" w:cs="ArialUnicodeMS"/>
          <w:color w:val="000000"/>
          <w:kern w:val="0"/>
        </w:rPr>
      </w:pPr>
    </w:p>
    <w:p>
      <w:pPr>
        <w:rPr>
          <w:rFonts w:ascii="宋体" w:hAnsi="宋体" w:cs="ArialUnicodeMS"/>
          <w:color w:val="000000"/>
          <w:kern w:val="0"/>
        </w:rPr>
        <w:sectPr>
          <w:pgSz w:w="11906" w:h="16838"/>
          <w:pgMar w:top="2098" w:right="1474" w:bottom="1984" w:left="1588" w:header="851" w:footer="992" w:gutter="0"/>
          <w:cols w:space="0" w:num="1"/>
          <w:docGrid w:type="lines" w:linePitch="312" w:charSpace="0"/>
        </w:sectPr>
      </w:pPr>
    </w:p>
    <w:p>
      <w:pPr>
        <w:ind w:firstLine="640"/>
        <w:rPr>
          <w:rFonts w:hint="eastAsia" w:ascii="仿宋" w:hAnsi="仿宋" w:eastAsia="仿宋"/>
          <w:sz w:val="32"/>
          <w:szCs w:val="32"/>
        </w:rPr>
      </w:pPr>
      <w:r>
        <w:rPr>
          <w:rFonts w:hint="eastAsia" w:ascii="仿宋" w:hAnsi="仿宋" w:eastAsia="仿宋"/>
          <w:sz w:val="32"/>
          <w:szCs w:val="32"/>
        </w:rPr>
        <w:t>（一）收入支出决算总表</w:t>
      </w:r>
    </w:p>
    <w:p>
      <w:pPr>
        <w:ind w:firstLine="640"/>
        <w:rPr>
          <w:rFonts w:hint="eastAsia" w:ascii="仿宋" w:hAnsi="仿宋" w:eastAsia="仿宋"/>
          <w:sz w:val="32"/>
          <w:szCs w:val="32"/>
        </w:rPr>
      </w:pPr>
      <w:r>
        <w:rPr>
          <w:rFonts w:hint="eastAsia" w:ascii="仿宋" w:hAnsi="仿宋" w:eastAsia="仿宋"/>
          <w:sz w:val="32"/>
          <w:szCs w:val="32"/>
        </w:rPr>
        <w:t>（二）收入决算表</w:t>
      </w:r>
    </w:p>
    <w:p>
      <w:pPr>
        <w:ind w:firstLine="640"/>
        <w:rPr>
          <w:rFonts w:hint="eastAsia" w:ascii="仿宋" w:hAnsi="仿宋" w:eastAsia="仿宋"/>
          <w:sz w:val="32"/>
          <w:szCs w:val="32"/>
        </w:rPr>
      </w:pPr>
      <w:r>
        <w:rPr>
          <w:rFonts w:hint="eastAsia" w:ascii="仿宋" w:hAnsi="仿宋" w:eastAsia="仿宋"/>
          <w:sz w:val="32"/>
          <w:szCs w:val="32"/>
        </w:rPr>
        <w:t>（三）支出决算表</w:t>
      </w:r>
    </w:p>
    <w:p>
      <w:pPr>
        <w:ind w:firstLine="640"/>
        <w:rPr>
          <w:rFonts w:hint="eastAsia" w:ascii="仿宋" w:hAnsi="仿宋" w:eastAsia="仿宋"/>
          <w:sz w:val="32"/>
          <w:szCs w:val="32"/>
        </w:rPr>
      </w:pPr>
      <w:r>
        <w:rPr>
          <w:rFonts w:hint="eastAsia" w:ascii="仿宋" w:hAnsi="仿宋" w:eastAsia="仿宋"/>
          <w:sz w:val="32"/>
          <w:szCs w:val="32"/>
        </w:rPr>
        <w:t>（四）财政拨款收入支出决算总表</w:t>
      </w:r>
    </w:p>
    <w:p>
      <w:pPr>
        <w:ind w:firstLine="640"/>
        <w:rPr>
          <w:rFonts w:hint="eastAsia" w:ascii="仿宋" w:hAnsi="仿宋" w:eastAsia="仿宋"/>
          <w:sz w:val="32"/>
          <w:szCs w:val="32"/>
        </w:rPr>
      </w:pPr>
      <w:r>
        <w:rPr>
          <w:rFonts w:hint="eastAsia" w:ascii="仿宋" w:hAnsi="仿宋" w:eastAsia="仿宋"/>
          <w:sz w:val="32"/>
          <w:szCs w:val="32"/>
        </w:rPr>
        <w:t>（五）一般公共预算财政拨款收入支出总表</w:t>
      </w:r>
    </w:p>
    <w:p>
      <w:pPr>
        <w:ind w:firstLine="640"/>
        <w:rPr>
          <w:rFonts w:hint="eastAsia" w:ascii="仿宋" w:hAnsi="仿宋" w:eastAsia="仿宋"/>
          <w:sz w:val="32"/>
          <w:szCs w:val="32"/>
        </w:rPr>
      </w:pPr>
      <w:r>
        <w:rPr>
          <w:rFonts w:hint="eastAsia" w:ascii="仿宋" w:hAnsi="仿宋" w:eastAsia="仿宋"/>
          <w:sz w:val="32"/>
          <w:szCs w:val="32"/>
        </w:rPr>
        <w:t>（六）一般公共预算财政拨款基本支出决算表</w:t>
      </w:r>
    </w:p>
    <w:p>
      <w:pPr>
        <w:ind w:firstLine="640"/>
        <w:rPr>
          <w:rFonts w:hint="eastAsia" w:ascii="仿宋" w:hAnsi="仿宋" w:eastAsia="仿宋"/>
          <w:sz w:val="32"/>
          <w:szCs w:val="32"/>
        </w:rPr>
      </w:pPr>
      <w:r>
        <w:rPr>
          <w:rFonts w:hint="eastAsia" w:ascii="仿宋" w:hAnsi="仿宋" w:eastAsia="仿宋"/>
          <w:sz w:val="32"/>
          <w:szCs w:val="32"/>
        </w:rPr>
        <w:t>（七）一般公共预算财政拨款“三公经费”支出决算表</w:t>
      </w:r>
    </w:p>
    <w:p>
      <w:pPr>
        <w:ind w:firstLine="640"/>
        <w:rPr>
          <w:rFonts w:hint="eastAsia" w:ascii="仿宋" w:hAnsi="仿宋" w:eastAsia="仿宋"/>
          <w:sz w:val="32"/>
          <w:szCs w:val="32"/>
        </w:rPr>
      </w:pPr>
      <w:r>
        <w:rPr>
          <w:rFonts w:hint="eastAsia" w:ascii="仿宋" w:hAnsi="仿宋" w:eastAsia="仿宋"/>
          <w:sz w:val="32"/>
          <w:szCs w:val="32"/>
        </w:rPr>
        <w:t>（八）政府性基金预算财政拨款收入支出决算表</w:t>
      </w:r>
    </w:p>
    <w:p>
      <w:pPr>
        <w:ind w:firstLine="640"/>
        <w:rPr>
          <w:rFonts w:hint="eastAsia" w:ascii="仿宋" w:hAnsi="仿宋" w:eastAsia="仿宋"/>
          <w:sz w:val="32"/>
          <w:szCs w:val="32"/>
        </w:rPr>
      </w:pPr>
      <w:r>
        <w:rPr>
          <w:rFonts w:hint="eastAsia" w:ascii="仿宋" w:hAnsi="仿宋" w:eastAsia="仿宋"/>
          <w:sz w:val="32"/>
          <w:szCs w:val="32"/>
        </w:rPr>
        <w:t>（九）国有资本经营预算财政拨款支出决算表</w:t>
      </w:r>
    </w:p>
    <w:p>
      <w:pPr>
        <w:ind w:firstLine="640"/>
        <w:rPr>
          <w:rFonts w:ascii="仿宋" w:hAnsi="仿宋" w:eastAsia="仿宋"/>
          <w:sz w:val="32"/>
          <w:szCs w:val="32"/>
        </w:rPr>
      </w:pPr>
      <w:r>
        <w:rPr>
          <w:rFonts w:hint="eastAsia" w:ascii="仿宋" w:hAnsi="仿宋" w:eastAsia="仿宋"/>
          <w:sz w:val="32"/>
          <w:szCs w:val="32"/>
        </w:rPr>
        <w:t>（十）政府采购情况表</w:t>
      </w: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int="eastAsia" w:hAnsi="宋体" w:asciiTheme="minorEastAsia" w:eastAsiaTheme="minorEastAsia"/>
          <w:color w:val="000000" w:themeColor="text1"/>
          <w:sz w:val="96"/>
          <w:szCs w:val="96"/>
        </w:rPr>
      </w:pPr>
    </w:p>
    <w:p>
      <w:pPr>
        <w:widowControl/>
        <w:spacing w:line="1200" w:lineRule="exact"/>
        <w:jc w:val="center"/>
        <w:rPr>
          <w:rFonts w:hint="eastAsia" w:hAnsi="宋体" w:asciiTheme="minorEastAsia" w:eastAsiaTheme="minorEastAsia"/>
          <w:color w:val="000000" w:themeColor="text1"/>
          <w:sz w:val="96"/>
          <w:szCs w:val="96"/>
        </w:rPr>
      </w:pPr>
    </w:p>
    <w:p>
      <w:pPr>
        <w:widowControl/>
        <w:spacing w:line="1200" w:lineRule="exact"/>
        <w:jc w:val="center"/>
        <w:rPr>
          <w:rFonts w:hint="eastAsia" w:hAnsi="宋体" w:asciiTheme="minorEastAsia" w:eastAsiaTheme="minorEastAsia"/>
          <w:color w:val="000000" w:themeColor="text1"/>
          <w:sz w:val="96"/>
          <w:szCs w:val="96"/>
        </w:rPr>
      </w:pPr>
    </w:p>
    <w:p>
      <w:pPr>
        <w:widowControl/>
        <w:spacing w:line="1200" w:lineRule="exact"/>
        <w:jc w:val="center"/>
        <w:rPr>
          <w:rFonts w:hint="eastAsia"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r>
        <w:rPr>
          <w:rFonts w:hint="eastAsia" w:hAnsi="宋体" w:asciiTheme="minorEastAsia" w:eastAsiaTheme="minorEastAsia"/>
          <w:color w:val="000000" w:themeColor="text1"/>
          <w:sz w:val="96"/>
          <w:szCs w:val="96"/>
        </w:rPr>
        <w:t>第三部分</w:t>
      </w:r>
    </w:p>
    <w:p>
      <w:pPr>
        <w:widowControl/>
        <w:spacing w:line="1200" w:lineRule="exact"/>
        <w:jc w:val="center"/>
        <w:rPr>
          <w:color w:val="000000" w:themeColor="text1"/>
          <w:sz w:val="96"/>
          <w:szCs w:val="96"/>
        </w:rPr>
      </w:pPr>
      <w:r>
        <w:rPr>
          <w:rFonts w:hint="eastAsia" w:hAnsi="宋体" w:asciiTheme="minorEastAsia" w:eastAsiaTheme="minorEastAsia"/>
          <w:color w:val="000000" w:themeColor="text1"/>
          <w:sz w:val="96"/>
          <w:szCs w:val="96"/>
        </w:rPr>
        <w:t>部门决算情况说明</w:t>
      </w:r>
    </w:p>
    <w:p>
      <w:pPr>
        <w:rPr>
          <w:rFonts w:ascii="宋体" w:hAnsi="宋体" w:cs="ArialUnicodeMS"/>
          <w:color w:val="000000"/>
          <w:kern w:val="0"/>
        </w:rPr>
        <w:sectPr>
          <w:pgSz w:w="11906" w:h="16838"/>
          <w:pgMar w:top="2098" w:right="1474" w:bottom="1984" w:left="1588" w:header="851" w:footer="992" w:gutter="0"/>
          <w:cols w:space="0" w:num="1"/>
          <w:docGrid w:type="lines" w:linePitch="312" w:charSpace="0"/>
        </w:sectPr>
      </w:pPr>
    </w:p>
    <w:p>
      <w:pPr>
        <w:pStyle w:val="3"/>
        <w:spacing w:before="0" w:after="0" w:line="580" w:lineRule="exact"/>
        <w:ind w:firstLine="640" w:firstLineChars="200"/>
        <w:rPr>
          <w:rFonts w:ascii="黑体" w:eastAsia="黑体"/>
          <w:b w:val="0"/>
          <w:bCs w:val="0"/>
        </w:rPr>
      </w:pPr>
      <w:r>
        <w:rPr>
          <w:rFonts w:hint="eastAsia" w:ascii="黑体" w:eastAsia="黑体"/>
          <w:b w:val="0"/>
          <w:bCs w:val="0"/>
        </w:rPr>
        <w:t>一、收入</w:t>
      </w:r>
      <w:r>
        <w:rPr>
          <w:rFonts w:hint="eastAsia" w:ascii="黑体" w:eastAsia="黑体" w:cs="黑体" w:hAnsiTheme="minorHAnsi"/>
          <w:b w:val="0"/>
          <w:bCs w:val="0"/>
          <w:kern w:val="0"/>
        </w:rPr>
        <w:t>支出</w:t>
      </w:r>
      <w:r>
        <w:rPr>
          <w:rFonts w:hint="eastAsia" w:ascii="黑体" w:eastAsia="黑体"/>
          <w:b w:val="0"/>
          <w:bCs w:val="0"/>
        </w:rPr>
        <w:t>决算总体情况说明</w:t>
      </w:r>
    </w:p>
    <w:p>
      <w:pPr>
        <w:adjustRightInd w:val="0"/>
        <w:snapToGrid w:val="0"/>
        <w:spacing w:after="0" w:line="580" w:lineRule="exact"/>
        <w:ind w:firstLine="640" w:firstLineChars="200"/>
        <w:rPr>
          <w:rFonts w:hint="eastAsia" w:ascii="仿宋_GB2312" w:eastAsia="仿宋_GB2312" w:cs="DengXian-Regular"/>
          <w:sz w:val="32"/>
          <w:szCs w:val="32"/>
          <w:lang w:eastAsia="zh-CN"/>
        </w:rPr>
      </w:pPr>
      <w:r>
        <w:rPr>
          <w:rFonts w:hint="eastAsia" w:ascii="仿宋_GB2312" w:eastAsia="仿宋_GB2312" w:cs="DengXian-Regular"/>
          <w:sz w:val="32"/>
          <w:szCs w:val="32"/>
        </w:rPr>
        <w:t>本部门2018年度收支总计（含结转和结余）</w:t>
      </w:r>
      <w:r>
        <w:rPr>
          <w:rFonts w:hint="eastAsia" w:ascii="仿宋_GB2312" w:hAnsi="Arial" w:eastAsia="仿宋_GB2312" w:cs="仿宋_GB2312"/>
          <w:color w:val="333333"/>
          <w:sz w:val="32"/>
          <w:szCs w:val="32"/>
          <w:shd w:val="clear" w:color="auto" w:fill="FFFFFF"/>
        </w:rPr>
        <w:t>1,810.54</w:t>
      </w:r>
      <w:r>
        <w:rPr>
          <w:rFonts w:hint="eastAsia" w:ascii="仿宋_GB2312" w:eastAsia="仿宋_GB2312" w:cs="DengXian-Regular"/>
          <w:sz w:val="32"/>
          <w:szCs w:val="32"/>
        </w:rPr>
        <w:t>万元。与2017年度决算相比，收</w:t>
      </w:r>
      <w:r>
        <w:rPr>
          <w:rFonts w:hint="eastAsia" w:ascii="仿宋_GB2312" w:eastAsia="仿宋_GB2312" w:cs="DengXian-Regular"/>
          <w:sz w:val="32"/>
          <w:szCs w:val="32"/>
          <w:lang w:eastAsia="zh-CN"/>
        </w:rPr>
        <w:t>入</w:t>
      </w:r>
      <w:r>
        <w:rPr>
          <w:rFonts w:hint="eastAsia" w:ascii="仿宋_GB2312" w:eastAsia="仿宋_GB2312" w:cs="DengXian-Regular"/>
          <w:sz w:val="32"/>
          <w:szCs w:val="32"/>
        </w:rPr>
        <w:t>增加</w:t>
      </w:r>
      <w:r>
        <w:rPr>
          <w:rFonts w:hint="eastAsia" w:ascii="仿宋_GB2312" w:eastAsia="仿宋_GB2312" w:cs="DengXian-Regular"/>
          <w:sz w:val="32"/>
          <w:szCs w:val="32"/>
          <w:lang w:val="en-US" w:eastAsia="zh-CN"/>
        </w:rPr>
        <w:t>253.06</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16.25</w:t>
      </w:r>
      <w:r>
        <w:rPr>
          <w:rFonts w:hint="eastAsia" w:ascii="仿宋_GB2312" w:eastAsia="仿宋_GB2312" w:cs="DengXian-Regular"/>
          <w:sz w:val="32"/>
          <w:szCs w:val="32"/>
        </w:rPr>
        <w:t>%，主要是</w:t>
      </w:r>
      <w:r>
        <w:rPr>
          <w:rFonts w:hint="eastAsia" w:ascii="仿宋_GB2312" w:hAnsi="Arial" w:eastAsia="仿宋_GB2312" w:cs="仿宋_GB2312"/>
          <w:color w:val="333333"/>
          <w:sz w:val="32"/>
          <w:szCs w:val="32"/>
          <w:shd w:val="clear" w:color="auto" w:fill="FFFFFF"/>
        </w:rPr>
        <w:t>增加项目和人员经费</w:t>
      </w:r>
      <w:r>
        <w:rPr>
          <w:rFonts w:hint="eastAsia" w:ascii="仿宋_GB2312" w:hAnsi="Arial" w:eastAsia="仿宋_GB2312" w:cs="仿宋_GB2312"/>
          <w:color w:val="333333"/>
          <w:sz w:val="32"/>
          <w:szCs w:val="32"/>
          <w:shd w:val="clear" w:color="auto" w:fill="FFFFFF"/>
          <w:lang w:eastAsia="zh-CN"/>
        </w:rPr>
        <w:t>收入</w:t>
      </w:r>
      <w:r>
        <w:rPr>
          <w:rFonts w:hint="eastAsia" w:ascii="仿宋_GB2312" w:eastAsia="仿宋_GB2312" w:cs="DengXian-Regular"/>
          <w:sz w:val="32"/>
          <w:szCs w:val="32"/>
          <w:lang w:eastAsia="zh-CN"/>
        </w:rPr>
        <w:t>；</w:t>
      </w:r>
      <w:r>
        <w:rPr>
          <w:rFonts w:hint="eastAsia" w:ascii="仿宋_GB2312" w:eastAsia="仿宋_GB2312" w:cs="DengXian-Regular"/>
          <w:sz w:val="32"/>
          <w:szCs w:val="32"/>
        </w:rPr>
        <w:t>与2017年度决算相比，</w:t>
      </w:r>
      <w:r>
        <w:rPr>
          <w:rFonts w:hint="eastAsia" w:ascii="仿宋_GB2312" w:eastAsia="仿宋_GB2312" w:cs="DengXian-Regular"/>
          <w:sz w:val="32"/>
          <w:szCs w:val="32"/>
          <w:lang w:eastAsia="zh-CN"/>
        </w:rPr>
        <w:t>支出</w:t>
      </w:r>
      <w:r>
        <w:rPr>
          <w:rFonts w:hint="eastAsia" w:ascii="仿宋_GB2312" w:eastAsia="仿宋_GB2312" w:cs="DengXian-Regular"/>
          <w:sz w:val="32"/>
          <w:szCs w:val="32"/>
        </w:rPr>
        <w:t>增加</w:t>
      </w:r>
      <w:r>
        <w:rPr>
          <w:rFonts w:hint="eastAsia" w:ascii="仿宋_GB2312" w:eastAsia="仿宋_GB2312" w:cs="DengXian-Regular"/>
          <w:sz w:val="32"/>
          <w:szCs w:val="32"/>
          <w:lang w:val="en-US" w:eastAsia="zh-CN"/>
        </w:rPr>
        <w:t>253.06</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16.25</w:t>
      </w:r>
      <w:r>
        <w:rPr>
          <w:rFonts w:hint="eastAsia" w:ascii="仿宋_GB2312" w:eastAsia="仿宋_GB2312" w:cs="DengXian-Regular"/>
          <w:sz w:val="32"/>
          <w:szCs w:val="32"/>
        </w:rPr>
        <w:t>%，主要是</w:t>
      </w:r>
      <w:r>
        <w:rPr>
          <w:rFonts w:hint="eastAsia" w:ascii="仿宋_GB2312" w:hAnsi="Arial" w:eastAsia="仿宋_GB2312" w:cs="仿宋_GB2312"/>
          <w:color w:val="333333"/>
          <w:sz w:val="32"/>
          <w:szCs w:val="32"/>
          <w:shd w:val="clear" w:color="auto" w:fill="FFFFFF"/>
        </w:rPr>
        <w:t>增加项目和人员经费</w:t>
      </w:r>
      <w:r>
        <w:rPr>
          <w:rFonts w:hint="eastAsia" w:ascii="仿宋_GB2312" w:hAnsi="Arial" w:eastAsia="仿宋_GB2312" w:cs="仿宋_GB2312"/>
          <w:color w:val="333333"/>
          <w:sz w:val="32"/>
          <w:szCs w:val="32"/>
          <w:shd w:val="clear" w:color="auto" w:fill="FFFFFF"/>
          <w:lang w:eastAsia="zh-CN"/>
        </w:rPr>
        <w:t>支出。</w:t>
      </w:r>
    </w:p>
    <w:p>
      <w:pPr>
        <w:pStyle w:val="3"/>
        <w:spacing w:before="0" w:after="0" w:line="580" w:lineRule="exact"/>
        <w:ind w:firstLine="640" w:firstLineChars="200"/>
        <w:rPr>
          <w:rFonts w:ascii="黑体" w:eastAsia="黑体"/>
          <w:b w:val="0"/>
          <w:bCs w:val="0"/>
        </w:rPr>
      </w:pPr>
      <w:r>
        <w:rPr>
          <w:rFonts w:hint="eastAsia" w:ascii="黑体" w:eastAsia="黑体"/>
          <w:b w:val="0"/>
          <w:bCs w:val="0"/>
        </w:rPr>
        <w:t>二、收入决算情况说明</w:t>
      </w:r>
    </w:p>
    <w:p>
      <w:pPr>
        <w:pStyle w:val="11"/>
        <w:widowControl/>
        <w:shd w:val="clear" w:color="auto" w:fill="FFFFFF"/>
        <w:spacing w:line="405" w:lineRule="atLeas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本部门2018年度本年收入合计1,733.95万元，其中：财政拨款收入1,733.95万元，占</w:t>
      </w:r>
      <w:r>
        <w:rPr>
          <w:rFonts w:hint="eastAsia" w:ascii="仿宋_GB2312" w:eastAsia="仿宋_GB2312" w:cs="DengXian-Regular"/>
          <w:sz w:val="32"/>
          <w:szCs w:val="32"/>
          <w:lang w:val="en-US" w:eastAsia="zh-CN"/>
        </w:rPr>
        <w:t>100</w:t>
      </w:r>
      <w:r>
        <w:rPr>
          <w:rFonts w:hint="eastAsia" w:ascii="仿宋_GB2312" w:eastAsia="仿宋_GB2312" w:cs="DengXian-Regular"/>
          <w:sz w:val="32"/>
          <w:szCs w:val="32"/>
        </w:rPr>
        <w:t>%；事业收入</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%；经营收入</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%；其他收入</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w:t>
      </w:r>
    </w:p>
    <w:p>
      <w:pPr>
        <w:pStyle w:val="3"/>
        <w:spacing w:before="0" w:after="0" w:line="580" w:lineRule="exact"/>
        <w:ind w:firstLine="640" w:firstLineChars="200"/>
        <w:rPr>
          <w:rFonts w:ascii="黑体" w:eastAsia="黑体"/>
          <w:b w:val="0"/>
          <w:bCs w:val="0"/>
        </w:rPr>
      </w:pPr>
      <w:r>
        <w:rPr>
          <w:rFonts w:hint="eastAsia" w:ascii="黑体" w:eastAsia="黑体"/>
          <w:b w:val="0"/>
          <w:bCs w:val="0"/>
        </w:rPr>
        <w:t>三、支出决算情况说明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本部门2018年度本年支出合计</w:t>
      </w:r>
      <w:r>
        <w:rPr>
          <w:rFonts w:hint="eastAsia" w:ascii="仿宋_GB2312" w:eastAsia="仿宋_GB2312" w:cs="DengXian-Regular"/>
          <w:sz w:val="32"/>
          <w:szCs w:val="32"/>
          <w:lang w:val="en-US" w:eastAsia="zh-CN"/>
        </w:rPr>
        <w:t>1790.65</w:t>
      </w:r>
      <w:r>
        <w:rPr>
          <w:rFonts w:hint="eastAsia" w:ascii="仿宋_GB2312" w:eastAsia="仿宋_GB2312" w:cs="DengXian-Regular"/>
          <w:sz w:val="32"/>
          <w:szCs w:val="32"/>
        </w:rPr>
        <w:t>万元，</w:t>
      </w:r>
      <w:r>
        <w:rPr>
          <w:rFonts w:hint="eastAsia" w:ascii="仿宋_GB2312" w:hAnsi="Arial" w:eastAsia="仿宋_GB2312" w:cs="仿宋_GB2312"/>
          <w:color w:val="333333"/>
          <w:sz w:val="32"/>
          <w:szCs w:val="32"/>
          <w:shd w:val="clear" w:color="auto" w:fill="FFFFFF"/>
        </w:rPr>
        <w:t>其中</w:t>
      </w:r>
      <w:r>
        <w:rPr>
          <w:rFonts w:hint="eastAsia" w:ascii="仿宋_GB2312" w:hAnsi="Arial" w:eastAsia="仿宋_GB2312" w:cs="仿宋_GB2312"/>
          <w:color w:val="333333"/>
          <w:sz w:val="32"/>
          <w:szCs w:val="32"/>
          <w:shd w:val="clear" w:color="auto" w:fill="FFFFFF"/>
          <w:lang w:eastAsia="zh-CN"/>
        </w:rPr>
        <w:t>：</w:t>
      </w:r>
      <w:r>
        <w:rPr>
          <w:rFonts w:hint="eastAsia" w:ascii="仿宋_GB2312" w:eastAsia="仿宋_GB2312" w:cs="DengXian-Regular"/>
          <w:sz w:val="32"/>
          <w:szCs w:val="32"/>
        </w:rPr>
        <w:t>基本支出1,281.70万元，占</w:t>
      </w:r>
      <w:r>
        <w:rPr>
          <w:rFonts w:hint="eastAsia" w:ascii="仿宋_GB2312" w:eastAsia="仿宋_GB2312" w:cs="DengXian-Regular"/>
          <w:sz w:val="32"/>
          <w:szCs w:val="32"/>
          <w:lang w:val="en-US" w:eastAsia="zh-CN"/>
        </w:rPr>
        <w:t>71.58</w:t>
      </w:r>
      <w:r>
        <w:rPr>
          <w:rFonts w:hint="eastAsia" w:ascii="仿宋_GB2312" w:eastAsia="仿宋_GB2312" w:cs="DengXian-Regular"/>
          <w:sz w:val="32"/>
          <w:szCs w:val="32"/>
        </w:rPr>
        <w:t>x%；项目支出508.95万元，占</w:t>
      </w:r>
      <w:r>
        <w:rPr>
          <w:rFonts w:hint="eastAsia" w:ascii="仿宋_GB2312" w:eastAsia="仿宋_GB2312" w:cs="DengXian-Regular"/>
          <w:sz w:val="32"/>
          <w:szCs w:val="32"/>
          <w:lang w:val="en-US" w:eastAsia="zh-CN"/>
        </w:rPr>
        <w:t>28.42</w:t>
      </w:r>
      <w:r>
        <w:rPr>
          <w:rFonts w:hint="eastAsia" w:ascii="仿宋_GB2312" w:eastAsia="仿宋_GB2312" w:cs="DengXian-Regular"/>
          <w:sz w:val="32"/>
          <w:szCs w:val="32"/>
        </w:rPr>
        <w:t>%；经营支出</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w:t>
      </w:r>
    </w:p>
    <w:p>
      <w:pPr>
        <w:pStyle w:val="3"/>
        <w:spacing w:before="0" w:after="0" w:line="580" w:lineRule="exact"/>
        <w:ind w:firstLine="640" w:firstLineChars="200"/>
        <w:rPr>
          <w:rFonts w:ascii="黑体" w:eastAsia="黑体"/>
          <w:b w:val="0"/>
          <w:bCs w:val="0"/>
        </w:rPr>
      </w:pPr>
      <w:r>
        <w:rPr>
          <w:rFonts w:hint="eastAsia" w:ascii="黑体" w:eastAsia="黑体"/>
          <w:b w:val="0"/>
          <w:bCs w:val="0"/>
        </w:rPr>
        <w:t>四、</w:t>
      </w:r>
      <w:r>
        <w:rPr>
          <w:rFonts w:hint="eastAsia" w:ascii="黑体" w:eastAsia="黑体" w:cs="黑体" w:hAnsiTheme="minorHAnsi"/>
          <w:b w:val="0"/>
          <w:bCs w:val="0"/>
          <w:kern w:val="0"/>
        </w:rPr>
        <w:t>财政</w:t>
      </w:r>
      <w:r>
        <w:rPr>
          <w:rFonts w:hint="eastAsia" w:ascii="黑体" w:eastAsia="黑体"/>
          <w:b w:val="0"/>
          <w:bCs w:val="0"/>
        </w:rPr>
        <w:t>拨款收入支出决算情况说明</w:t>
      </w:r>
    </w:p>
    <w:p>
      <w:pPr>
        <w:spacing w:after="0" w:line="580" w:lineRule="exact"/>
        <w:ind w:firstLine="643" w:firstLineChars="200"/>
        <w:rPr>
          <w:rFonts w:ascii="楷体_GB2312" w:eastAsia="楷体_GB2312" w:cs="DengXian-Bold"/>
          <w:b/>
          <w:bCs/>
          <w:sz w:val="32"/>
          <w:szCs w:val="32"/>
        </w:rPr>
      </w:pPr>
      <w:r>
        <w:rPr>
          <w:rFonts w:hint="eastAsia" w:ascii="楷体_GB2312" w:eastAsia="楷体_GB2312" w:cs="DengXian-Bold"/>
          <w:b/>
          <w:bCs/>
          <w:sz w:val="32"/>
          <w:szCs w:val="32"/>
        </w:rPr>
        <w:t>（一）财政拨款收支与2017 年度决算对比情况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本部门2018年度形成的财政拨款收支均为一般公共预算财政拨款，其中一般公共预算财政拨款本年收入1,810.54万元,比2017年度增加</w:t>
      </w:r>
      <w:r>
        <w:rPr>
          <w:rFonts w:hint="eastAsia" w:ascii="仿宋_GB2312" w:eastAsia="仿宋_GB2312" w:cs="DengXian-Regular"/>
          <w:sz w:val="32"/>
          <w:szCs w:val="32"/>
          <w:lang w:val="en-US" w:eastAsia="zh-CN"/>
        </w:rPr>
        <w:t>253.06</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16.25</w:t>
      </w:r>
      <w:r>
        <w:rPr>
          <w:rFonts w:hint="eastAsia" w:ascii="仿宋_GB2312" w:eastAsia="仿宋_GB2312" w:cs="DengXian-Regular"/>
          <w:sz w:val="32"/>
          <w:szCs w:val="32"/>
        </w:rPr>
        <w:t>%，</w:t>
      </w:r>
      <w:r>
        <w:rPr>
          <w:rFonts w:hint="eastAsia" w:ascii="仿宋_GB2312" w:hAnsi="Arial" w:eastAsia="仿宋_GB2312" w:cs="仿宋_GB2312"/>
          <w:color w:val="333333"/>
          <w:sz w:val="32"/>
          <w:szCs w:val="32"/>
          <w:shd w:val="clear" w:color="auto" w:fill="FFFFFF"/>
        </w:rPr>
        <w:t>主要为人员和项目经费收入增加</w:t>
      </w:r>
      <w:r>
        <w:rPr>
          <w:rFonts w:hint="eastAsia" w:ascii="仿宋_GB2312" w:eastAsia="仿宋_GB2312" w:cs="DengXian-Regular"/>
          <w:sz w:val="32"/>
          <w:szCs w:val="32"/>
        </w:rPr>
        <w:t>；本年支出1,790.65万元，增加</w:t>
      </w:r>
      <w:r>
        <w:rPr>
          <w:rFonts w:hint="eastAsia" w:ascii="仿宋_GB2312" w:eastAsia="仿宋_GB2312" w:cs="DengXian-Regular"/>
          <w:sz w:val="32"/>
          <w:szCs w:val="32"/>
          <w:lang w:val="en-US" w:eastAsia="zh-CN"/>
        </w:rPr>
        <w:t>309.77</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20.92</w:t>
      </w:r>
      <w:r>
        <w:rPr>
          <w:rFonts w:hint="eastAsia" w:ascii="仿宋_GB2312" w:eastAsia="仿宋_GB2312" w:cs="DengXian-Regular"/>
          <w:sz w:val="32"/>
          <w:szCs w:val="32"/>
        </w:rPr>
        <w:t>%，主要是</w:t>
      </w:r>
      <w:r>
        <w:rPr>
          <w:rFonts w:hint="eastAsia" w:ascii="仿宋_GB2312" w:hAnsi="Arial" w:eastAsia="仿宋_GB2312" w:cs="仿宋_GB2312"/>
          <w:color w:val="333333"/>
          <w:sz w:val="32"/>
          <w:szCs w:val="32"/>
          <w:shd w:val="clear" w:color="auto" w:fill="FFFFFF"/>
        </w:rPr>
        <w:t>增加项目和人员经费支出</w:t>
      </w:r>
      <w:r>
        <w:rPr>
          <w:rFonts w:hint="eastAsia" w:ascii="仿宋_GB2312" w:eastAsia="仿宋_GB2312" w:cs="DengXian-Regular"/>
          <w:sz w:val="32"/>
          <w:szCs w:val="32"/>
        </w:rPr>
        <w:t>。</w:t>
      </w:r>
    </w:p>
    <w:p>
      <w:pPr>
        <w:spacing w:after="0" w:line="580" w:lineRule="exact"/>
        <w:ind w:firstLine="643" w:firstLineChars="200"/>
        <w:rPr>
          <w:rFonts w:ascii="仿宋_GB2312" w:eastAsia="仿宋_GB2312" w:cs="DengXian-Bold"/>
          <w:b/>
          <w:bCs/>
          <w:sz w:val="32"/>
          <w:szCs w:val="32"/>
        </w:rPr>
      </w:pPr>
      <w:r>
        <w:rPr>
          <w:rFonts w:hint="eastAsia" w:ascii="楷体_GB2312" w:eastAsia="楷体_GB2312" w:cs="DengXian-Bold"/>
          <w:b/>
          <w:bCs/>
          <w:sz w:val="32"/>
          <w:szCs w:val="32"/>
        </w:rPr>
        <w:t>（二）财政拨款收支与年初预算数对比情况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本部门2018年度一般公共预算财政拨款收入1,733.95万元，完成年初预算的</w:t>
      </w:r>
      <w:r>
        <w:rPr>
          <w:rFonts w:hint="eastAsia" w:ascii="仿宋_GB2312" w:eastAsia="仿宋_GB2312" w:cs="DengXian-Regular"/>
          <w:sz w:val="32"/>
          <w:szCs w:val="32"/>
          <w:lang w:val="en-US" w:eastAsia="zh-CN"/>
        </w:rPr>
        <w:t>128.51</w:t>
      </w:r>
      <w:r>
        <w:rPr>
          <w:rFonts w:hint="eastAsia" w:ascii="仿宋_GB2312" w:eastAsia="仿宋_GB2312" w:cs="DengXian-Regular"/>
          <w:sz w:val="32"/>
          <w:szCs w:val="32"/>
        </w:rPr>
        <w:t>%,比年初预算增加</w:t>
      </w:r>
      <w:r>
        <w:rPr>
          <w:rFonts w:hint="eastAsia" w:ascii="仿宋_GB2312" w:eastAsia="仿宋_GB2312" w:cs="DengXian-Regular"/>
          <w:sz w:val="32"/>
          <w:szCs w:val="32"/>
          <w:lang w:val="en-US" w:eastAsia="zh-CN"/>
        </w:rPr>
        <w:t>384.68</w:t>
      </w:r>
      <w:r>
        <w:rPr>
          <w:rFonts w:hint="eastAsia" w:ascii="仿宋_GB2312" w:eastAsia="仿宋_GB2312" w:cs="DengXian-Regular"/>
          <w:sz w:val="32"/>
          <w:szCs w:val="32"/>
        </w:rPr>
        <w:t>万元，决算数大于预算数主要是</w:t>
      </w:r>
      <w:r>
        <w:rPr>
          <w:rFonts w:hint="eastAsia" w:ascii="仿宋_GB2312" w:hAnsi="Arial" w:eastAsia="仿宋_GB2312" w:cs="仿宋_GB2312"/>
          <w:color w:val="333333"/>
          <w:sz w:val="32"/>
          <w:szCs w:val="32"/>
          <w:shd w:val="clear" w:color="auto" w:fill="FFFFFF"/>
        </w:rPr>
        <w:t>增加项目和人员经费</w:t>
      </w:r>
      <w:r>
        <w:rPr>
          <w:rFonts w:hint="eastAsia" w:ascii="仿宋_GB2312" w:hAnsi="Arial" w:eastAsia="仿宋_GB2312" w:cs="仿宋_GB2312"/>
          <w:color w:val="333333"/>
          <w:sz w:val="32"/>
          <w:szCs w:val="32"/>
          <w:shd w:val="clear" w:color="auto" w:fill="FFFFFF"/>
          <w:lang w:eastAsia="zh-CN"/>
        </w:rPr>
        <w:t>收入</w:t>
      </w:r>
      <w:r>
        <w:rPr>
          <w:rFonts w:hint="eastAsia" w:ascii="仿宋_GB2312" w:eastAsia="仿宋_GB2312" w:cs="DengXian-Regular"/>
          <w:sz w:val="32"/>
          <w:szCs w:val="32"/>
        </w:rPr>
        <w:t>；本年支出1,790.65万元，完成年初预算的</w:t>
      </w:r>
      <w:r>
        <w:rPr>
          <w:rFonts w:hint="eastAsia" w:ascii="仿宋_GB2312" w:eastAsia="仿宋_GB2312" w:cs="DengXian-Regular"/>
          <w:sz w:val="32"/>
          <w:szCs w:val="32"/>
          <w:lang w:val="en-US" w:eastAsia="zh-CN"/>
        </w:rPr>
        <w:t>132.71</w:t>
      </w:r>
      <w:r>
        <w:rPr>
          <w:rFonts w:hint="eastAsia" w:ascii="仿宋_GB2312" w:eastAsia="仿宋_GB2312" w:cs="DengXian-Regular"/>
          <w:sz w:val="32"/>
          <w:szCs w:val="32"/>
        </w:rPr>
        <w:t>%,比年初预算增加</w:t>
      </w:r>
      <w:r>
        <w:rPr>
          <w:rFonts w:hint="eastAsia" w:ascii="仿宋_GB2312" w:eastAsia="仿宋_GB2312" w:cs="DengXian-Regular"/>
          <w:sz w:val="32"/>
          <w:szCs w:val="32"/>
          <w:lang w:val="en-US" w:eastAsia="zh-CN"/>
        </w:rPr>
        <w:t>441.38</w:t>
      </w:r>
      <w:r>
        <w:rPr>
          <w:rFonts w:hint="eastAsia" w:ascii="仿宋_GB2312" w:eastAsia="仿宋_GB2312" w:cs="DengXian-Regular"/>
          <w:sz w:val="32"/>
          <w:szCs w:val="32"/>
        </w:rPr>
        <w:t>万元，决算数大于预算数主要是</w:t>
      </w:r>
      <w:r>
        <w:rPr>
          <w:rFonts w:hint="eastAsia" w:ascii="仿宋_GB2312" w:hAnsi="Arial" w:eastAsia="仿宋_GB2312" w:cs="仿宋_GB2312"/>
          <w:color w:val="333333"/>
          <w:sz w:val="32"/>
          <w:szCs w:val="32"/>
          <w:shd w:val="clear" w:color="auto" w:fill="FFFFFF"/>
        </w:rPr>
        <w:t>增加项目和人员经费</w:t>
      </w:r>
      <w:r>
        <w:rPr>
          <w:rFonts w:hint="eastAsia" w:ascii="仿宋_GB2312" w:hAnsi="Arial" w:eastAsia="仿宋_GB2312" w:cs="仿宋_GB2312"/>
          <w:color w:val="333333"/>
          <w:sz w:val="32"/>
          <w:szCs w:val="32"/>
          <w:shd w:val="clear" w:color="auto" w:fill="FFFFFF"/>
          <w:lang w:eastAsia="zh-CN"/>
        </w:rPr>
        <w:t>支出</w:t>
      </w:r>
      <w:r>
        <w:rPr>
          <w:rFonts w:hint="eastAsia" w:ascii="仿宋_GB2312" w:eastAsia="仿宋_GB2312" w:cs="DengXian-Regular"/>
          <w:sz w:val="32"/>
          <w:szCs w:val="32"/>
        </w:rPr>
        <w:t>。</w:t>
      </w:r>
    </w:p>
    <w:p>
      <w:pPr>
        <w:numPr>
          <w:ilvl w:val="0"/>
          <w:numId w:val="1"/>
        </w:num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财政拨款支出决算结构情况。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2018 年度财政拨款支出</w:t>
      </w:r>
      <w:r>
        <w:rPr>
          <w:rFonts w:hint="eastAsia" w:ascii="仿宋_GB2312" w:hAnsi="Arial" w:eastAsia="仿宋_GB2312" w:cs="仿宋_GB2312"/>
          <w:color w:val="333333"/>
          <w:sz w:val="32"/>
          <w:szCs w:val="32"/>
          <w:shd w:val="clear" w:color="auto" w:fill="FFFFFF"/>
        </w:rPr>
        <w:t>1790.65</w:t>
      </w:r>
      <w:r>
        <w:rPr>
          <w:rFonts w:hint="eastAsia" w:ascii="仿宋_GB2312" w:eastAsia="仿宋_GB2312" w:cs="DengXian-Regular"/>
          <w:sz w:val="32"/>
          <w:szCs w:val="32"/>
        </w:rPr>
        <w:t>万元，主要用于以下方面</w:t>
      </w:r>
      <w:r>
        <w:rPr>
          <w:rFonts w:hint="eastAsia" w:ascii="仿宋_GB2312" w:eastAsia="仿宋_GB2312" w:cs="DengXian-Regular"/>
          <w:sz w:val="32"/>
          <w:szCs w:val="32"/>
          <w:lang w:eastAsia="zh-CN"/>
        </w:rPr>
        <w:t>：</w:t>
      </w:r>
      <w:r>
        <w:rPr>
          <w:rFonts w:hint="eastAsia" w:ascii="仿宋_GB2312" w:eastAsia="仿宋_GB2312" w:cs="DengXian-Regular"/>
          <w:sz w:val="32"/>
          <w:szCs w:val="32"/>
        </w:rPr>
        <w:t>一般公共服务（类）支出</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%；公共安全（类）支出</w:t>
      </w:r>
      <w:r>
        <w:rPr>
          <w:rFonts w:hint="eastAsia" w:ascii="仿宋_GB2312" w:hAnsi="Arial" w:eastAsia="仿宋_GB2312" w:cs="仿宋_GB2312"/>
          <w:color w:val="333333"/>
          <w:sz w:val="32"/>
          <w:szCs w:val="32"/>
          <w:shd w:val="clear" w:color="auto" w:fill="FFFFFF"/>
        </w:rPr>
        <w:t>1705.27</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95.23</w:t>
      </w:r>
      <w:r>
        <w:rPr>
          <w:rFonts w:hint="eastAsia" w:ascii="仿宋_GB2312" w:eastAsia="仿宋_GB2312" w:cs="DengXian-Regular"/>
          <w:sz w:val="32"/>
          <w:szCs w:val="32"/>
        </w:rPr>
        <w:t>%；教育（类）支出</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%；科学技术（类）支出</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 xml:space="preserve">万元，占 </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 xml:space="preserve">%；社会保障和就业（类）支出 </w:t>
      </w:r>
      <w:r>
        <w:rPr>
          <w:rFonts w:hint="eastAsia" w:ascii="仿宋_GB2312" w:hAnsi="Arial" w:eastAsia="仿宋_GB2312" w:cs="仿宋_GB2312"/>
          <w:color w:val="333333"/>
          <w:sz w:val="32"/>
          <w:szCs w:val="32"/>
          <w:shd w:val="clear" w:color="auto" w:fill="FFFFFF"/>
          <w:lang w:val="en-US" w:eastAsia="zh-CN"/>
        </w:rPr>
        <w:t>85.38</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4.77</w:t>
      </w:r>
      <w:r>
        <w:rPr>
          <w:rFonts w:hint="eastAsia" w:ascii="仿宋_GB2312" w:eastAsia="仿宋_GB2312" w:cs="DengXian-Regular"/>
          <w:sz w:val="32"/>
          <w:szCs w:val="32"/>
        </w:rPr>
        <w:t>%；住房保障（类）支出</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w:t>
      </w:r>
      <w:r>
        <w:rPr>
          <w:rFonts w:hint="eastAsia" w:ascii="仿宋_GB2312" w:eastAsia="仿宋_GB2312" w:cs="DengXian-Regular"/>
          <w:sz w:val="32"/>
          <w:szCs w:val="32"/>
          <w:lang w:eastAsia="zh-CN"/>
        </w:rPr>
        <w:t>。</w:t>
      </w:r>
    </w:p>
    <w:p>
      <w:p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（四）一般公共预算财政拨款基本支出决算情况说明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2018 年度一般公共预算财政拨款基本支出</w:t>
      </w:r>
      <w:r>
        <w:rPr>
          <w:rFonts w:hint="eastAsia" w:ascii="仿宋_GB2312" w:hAnsi="Arial" w:eastAsia="仿宋_GB2312" w:cs="仿宋_GB2312"/>
          <w:color w:val="333333"/>
          <w:sz w:val="32"/>
          <w:szCs w:val="32"/>
          <w:shd w:val="clear" w:color="auto" w:fill="FFFFFF"/>
        </w:rPr>
        <w:t>1,281.70</w:t>
      </w:r>
      <w:r>
        <w:rPr>
          <w:rFonts w:hint="eastAsia" w:ascii="仿宋_GB2312" w:eastAsia="仿宋_GB2312" w:cs="DengXian-Regular"/>
          <w:sz w:val="32"/>
          <w:szCs w:val="32"/>
        </w:rPr>
        <w:t>万元，其中：人员经费</w:t>
      </w:r>
      <w:r>
        <w:rPr>
          <w:rFonts w:hint="eastAsia" w:ascii="仿宋_GB2312" w:hAnsi="Arial" w:eastAsia="仿宋_GB2312" w:cs="仿宋_GB2312"/>
          <w:color w:val="333333"/>
          <w:sz w:val="32"/>
          <w:szCs w:val="32"/>
          <w:shd w:val="clear" w:color="auto" w:fill="FFFFFF"/>
        </w:rPr>
        <w:t>1029.26</w:t>
      </w:r>
      <w:r>
        <w:rPr>
          <w:rFonts w:hint="eastAsia" w:ascii="仿宋_GB2312" w:eastAsia="仿宋_GB2312" w:cs="DengXian-Regular"/>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w:t>
      </w:r>
      <w:r>
        <w:rPr>
          <w:rFonts w:hint="eastAsia" w:ascii="仿宋_GB2312" w:hAnsi="Arial" w:eastAsia="仿宋_GB2312" w:cs="仿宋_GB2312"/>
          <w:color w:val="333333"/>
          <w:sz w:val="32"/>
          <w:szCs w:val="32"/>
          <w:shd w:val="clear" w:color="auto" w:fill="FFFFFF"/>
          <w:lang w:val="en-US" w:eastAsia="zh-CN"/>
        </w:rPr>
        <w:t>252.44</w:t>
      </w:r>
      <w:r>
        <w:rPr>
          <w:rFonts w:hint="eastAsia" w:ascii="仿宋_GB2312" w:eastAsia="仿宋_GB2312" w:cs="DengXian-Regular"/>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pPr>
        <w:pStyle w:val="3"/>
        <w:spacing w:before="0" w:after="0" w:line="580" w:lineRule="exact"/>
        <w:ind w:firstLine="640" w:firstLineChars="200"/>
        <w:rPr>
          <w:rFonts w:ascii="黑体" w:eastAsia="黑体"/>
          <w:b w:val="0"/>
          <w:bCs w:val="0"/>
        </w:rPr>
      </w:pPr>
      <w:r>
        <w:rPr>
          <w:rFonts w:hint="eastAsia" w:ascii="黑体" w:eastAsia="黑体"/>
          <w:b w:val="0"/>
          <w:bCs w:val="0"/>
        </w:rPr>
        <w:t>五、一般公共预算财政拨款“三公” 经费支出决算情况说明</w:t>
      </w:r>
    </w:p>
    <w:p>
      <w:pPr>
        <w:adjustRightInd w:val="0"/>
        <w:snapToGrid w:val="0"/>
        <w:spacing w:line="584" w:lineRule="exact"/>
        <w:ind w:firstLine="640" w:firstLineChars="200"/>
        <w:rPr>
          <w:rFonts w:eastAsia="仿宋_GB2312"/>
          <w:sz w:val="32"/>
          <w:szCs w:val="32"/>
          <w:highlight w:val="yellow"/>
        </w:rPr>
      </w:pPr>
      <w:r>
        <w:rPr>
          <w:rFonts w:eastAsia="仿宋_GB2312"/>
          <w:sz w:val="32"/>
          <w:szCs w:val="32"/>
        </w:rPr>
        <w:t>本部门201</w:t>
      </w:r>
      <w:r>
        <w:rPr>
          <w:rFonts w:hint="eastAsia" w:eastAsia="仿宋_GB2312"/>
          <w:sz w:val="32"/>
          <w:szCs w:val="32"/>
        </w:rPr>
        <w:t>8</w:t>
      </w:r>
      <w:r>
        <w:rPr>
          <w:rFonts w:eastAsia="仿宋_GB2312"/>
          <w:sz w:val="32"/>
          <w:szCs w:val="32"/>
        </w:rPr>
        <w:t>年度一般公共预算财政拨款“三公”经费支出共计</w:t>
      </w:r>
      <w:r>
        <w:rPr>
          <w:rFonts w:hint="eastAsia" w:eastAsia="仿宋_GB2312"/>
          <w:sz w:val="32"/>
          <w:szCs w:val="32"/>
          <w:lang w:val="en-US" w:eastAsia="zh-CN"/>
        </w:rPr>
        <w:t>39.20</w:t>
      </w:r>
      <w:r>
        <w:rPr>
          <w:rFonts w:eastAsia="仿宋_GB2312"/>
          <w:sz w:val="32"/>
          <w:szCs w:val="32"/>
        </w:rPr>
        <w:t>万元，</w:t>
      </w:r>
      <w:r>
        <w:rPr>
          <w:rFonts w:hint="eastAsia" w:eastAsia="仿宋_GB2312"/>
          <w:sz w:val="32"/>
          <w:szCs w:val="32"/>
        </w:rPr>
        <w:t>比</w:t>
      </w:r>
      <w:r>
        <w:rPr>
          <w:rFonts w:eastAsia="仿宋_GB2312"/>
          <w:sz w:val="32"/>
          <w:szCs w:val="32"/>
        </w:rPr>
        <w:t>年初预算减少</w:t>
      </w:r>
      <w:r>
        <w:rPr>
          <w:rFonts w:hint="eastAsia" w:eastAsia="仿宋_GB2312"/>
          <w:sz w:val="32"/>
          <w:szCs w:val="32"/>
          <w:lang w:val="en-US" w:eastAsia="zh-CN"/>
        </w:rPr>
        <w:t>14.40</w:t>
      </w:r>
      <w:r>
        <w:rPr>
          <w:rFonts w:eastAsia="仿宋_GB2312"/>
          <w:sz w:val="32"/>
          <w:szCs w:val="32"/>
        </w:rPr>
        <w:t>万元，降低</w:t>
      </w:r>
      <w:r>
        <w:rPr>
          <w:rFonts w:hint="eastAsia" w:eastAsia="仿宋_GB2312"/>
          <w:sz w:val="32"/>
          <w:szCs w:val="32"/>
          <w:lang w:val="en-US" w:eastAsia="zh-CN"/>
        </w:rPr>
        <w:t>26.87</w:t>
      </w:r>
      <w:r>
        <w:rPr>
          <w:rFonts w:eastAsia="仿宋_GB2312"/>
          <w:sz w:val="32"/>
          <w:szCs w:val="32"/>
        </w:rPr>
        <w:t>%，主要是</w:t>
      </w:r>
      <w:r>
        <w:rPr>
          <w:rFonts w:hint="eastAsia" w:ascii="仿宋_GB2312" w:hAnsi="Arial" w:eastAsia="仿宋_GB2312" w:cs="仿宋_GB2312"/>
          <w:color w:val="333333"/>
          <w:sz w:val="32"/>
          <w:szCs w:val="32"/>
          <w:shd w:val="clear" w:color="auto" w:fill="FFFFFF"/>
        </w:rPr>
        <w:t>公车改革推行，调拨到文安县监察委公车6辆，使得公务用车运行维护费用下降</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年度决算减少</w:t>
      </w:r>
      <w:r>
        <w:rPr>
          <w:rFonts w:hint="eastAsia" w:eastAsia="仿宋_GB2312"/>
          <w:sz w:val="32"/>
          <w:szCs w:val="32"/>
          <w:lang w:val="en-US" w:eastAsia="zh-CN"/>
        </w:rPr>
        <w:t>16.95</w:t>
      </w:r>
      <w:r>
        <w:rPr>
          <w:rFonts w:eastAsia="仿宋_GB2312"/>
          <w:sz w:val="32"/>
          <w:szCs w:val="32"/>
        </w:rPr>
        <w:t>万元，降低</w:t>
      </w:r>
      <w:r>
        <w:rPr>
          <w:rFonts w:hint="eastAsia" w:eastAsia="仿宋_GB2312"/>
          <w:sz w:val="32"/>
          <w:szCs w:val="32"/>
          <w:lang w:val="en-US" w:eastAsia="zh-CN"/>
        </w:rPr>
        <w:t>30.19</w:t>
      </w:r>
      <w:r>
        <w:rPr>
          <w:rFonts w:eastAsia="仿宋_GB2312"/>
          <w:sz w:val="32"/>
          <w:szCs w:val="32"/>
        </w:rPr>
        <w:t>%，主要是</w:t>
      </w:r>
      <w:r>
        <w:rPr>
          <w:rFonts w:hint="eastAsia" w:ascii="仿宋_GB2312" w:hAnsi="Arial" w:eastAsia="仿宋_GB2312" w:cs="仿宋_GB2312"/>
          <w:color w:val="333333"/>
          <w:sz w:val="32"/>
          <w:szCs w:val="32"/>
          <w:shd w:val="clear" w:color="auto" w:fill="FFFFFF"/>
        </w:rPr>
        <w:t>公车改革推行，调拨到文安县监察委公车6辆，使得公务用车运行维护费用下降</w:t>
      </w:r>
      <w:r>
        <w:rPr>
          <w:rFonts w:eastAsia="仿宋_GB2312"/>
          <w:sz w:val="32"/>
          <w:szCs w:val="32"/>
        </w:rPr>
        <w:t>。具体情况如下：</w:t>
      </w:r>
    </w:p>
    <w:p>
      <w:pPr>
        <w:adjustRightInd w:val="0"/>
        <w:snapToGrid w:val="0"/>
        <w:spacing w:line="584" w:lineRule="exact"/>
        <w:ind w:firstLine="643" w:firstLineChars="200"/>
        <w:rPr>
          <w:rFonts w:eastAsia="仿宋_GB2312"/>
          <w:sz w:val="32"/>
          <w:szCs w:val="32"/>
          <w:highlight w:val="yellow"/>
        </w:rPr>
      </w:pPr>
      <w:r>
        <w:rPr>
          <w:rFonts w:eastAsia="楷体_GB2312"/>
          <w:b/>
          <w:bCs/>
          <w:sz w:val="32"/>
          <w:szCs w:val="32"/>
        </w:rPr>
        <w:t>（一）因公出国（境）费支出</w:t>
      </w:r>
      <w:r>
        <w:rPr>
          <w:rFonts w:hint="eastAsia" w:eastAsia="楷体_GB2312"/>
          <w:b/>
          <w:bCs/>
          <w:sz w:val="32"/>
          <w:szCs w:val="32"/>
          <w:lang w:val="en-US" w:eastAsia="zh-CN"/>
        </w:rPr>
        <w:t>0</w:t>
      </w:r>
      <w:r>
        <w:rPr>
          <w:rFonts w:eastAsia="楷体_GB2312"/>
          <w:b/>
          <w:bCs/>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w:t>
      </w:r>
      <w:r>
        <w:rPr>
          <w:rFonts w:hint="eastAsia" w:ascii="仿宋_GB2312" w:eastAsia="仿宋_GB2312" w:cs="DengXian-Regular"/>
          <w:sz w:val="32"/>
          <w:szCs w:val="32"/>
        </w:rPr>
        <w:t>因公出国（境）团组</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个、共</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人/参加其他单位组织的因公出国（境）团组</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个、共</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人/无本单位组织的出国（境）团组。</w:t>
      </w:r>
      <w:r>
        <w:rPr>
          <w:rFonts w:eastAsia="仿宋_GB2312"/>
          <w:sz w:val="32"/>
          <w:szCs w:val="32"/>
        </w:rPr>
        <w:t>因公出国（境）费支出</w:t>
      </w:r>
      <w:r>
        <w:rPr>
          <w:rFonts w:hint="eastAsia" w:ascii="仿宋_GB2312" w:hAnsi="Times New Roman" w:eastAsia="仿宋_GB2312" w:cs="DengXian-Regular"/>
          <w:sz w:val="32"/>
          <w:szCs w:val="32"/>
          <w:lang w:eastAsia="zh-CN"/>
        </w:rPr>
        <w:t>与年初预算持平</w:t>
      </w:r>
      <w:r>
        <w:rPr>
          <w:rFonts w:hint="eastAsia" w:ascii="仿宋_GB2312" w:eastAsia="仿宋_GB2312" w:cs="DengXian-Regular"/>
          <w:sz w:val="32"/>
          <w:szCs w:val="32"/>
          <w:lang w:eastAsia="zh-CN"/>
        </w:rPr>
        <w:t>，主要是我单位未发生“因公出国（境）费”经费支出</w:t>
      </w:r>
      <w:r>
        <w:rPr>
          <w:rFonts w:hint="eastAsia" w:ascii="仿宋_GB2312" w:hAnsi="Times New Roman" w:eastAsia="仿宋_GB2312" w:cs="DengXian-Regular"/>
          <w:sz w:val="32"/>
          <w:szCs w:val="32"/>
        </w:rPr>
        <w:t>；</w:t>
      </w:r>
      <w:r>
        <w:rPr>
          <w:rFonts w:hint="eastAsia" w:ascii="仿宋_GB2312" w:hAnsi="Times New Roman" w:eastAsia="仿宋_GB2312" w:cs="DengXian-Regular"/>
          <w:color w:val="000000"/>
          <w:sz w:val="32"/>
          <w:szCs w:val="32"/>
          <w:highlight w:val="none"/>
        </w:rPr>
        <w:t>与201</w:t>
      </w:r>
      <w:r>
        <w:rPr>
          <w:rFonts w:hint="eastAsia" w:ascii="仿宋_GB2312" w:eastAsia="仿宋_GB2312" w:cs="DengXian-Regular"/>
          <w:color w:val="000000"/>
          <w:sz w:val="32"/>
          <w:szCs w:val="32"/>
          <w:highlight w:val="none"/>
          <w:lang w:val="en-US" w:eastAsia="zh-CN"/>
        </w:rPr>
        <w:t>7</w:t>
      </w:r>
      <w:r>
        <w:rPr>
          <w:rFonts w:hint="eastAsia" w:ascii="仿宋_GB2312" w:hAnsi="Times New Roman" w:eastAsia="仿宋_GB2312" w:cs="DengXian-Regular"/>
          <w:color w:val="000000"/>
          <w:sz w:val="32"/>
          <w:szCs w:val="32"/>
          <w:highlight w:val="none"/>
        </w:rPr>
        <w:t>年度决算支出持平</w:t>
      </w:r>
      <w:r>
        <w:rPr>
          <w:rFonts w:hint="eastAsia" w:ascii="仿宋_GB2312" w:eastAsia="仿宋_GB2312" w:cs="DengXian-Regular"/>
          <w:sz w:val="32"/>
          <w:szCs w:val="32"/>
          <w:lang w:eastAsia="zh-CN"/>
        </w:rPr>
        <w:t>，主要是我单位未发生“因公出国（境）费”经费支出</w:t>
      </w:r>
      <w:r>
        <w:rPr>
          <w:rFonts w:eastAsia="仿宋_GB2312"/>
          <w:sz w:val="32"/>
          <w:szCs w:val="32"/>
        </w:rPr>
        <w:t>。</w:t>
      </w:r>
    </w:p>
    <w:p>
      <w:pPr>
        <w:adjustRightInd w:val="0"/>
        <w:snapToGrid w:val="0"/>
        <w:spacing w:line="584" w:lineRule="exact"/>
        <w:ind w:firstLine="643" w:firstLineChars="200"/>
        <w:rPr>
          <w:rFonts w:eastAsia="仿宋_GB2312"/>
          <w:b/>
          <w:bCs/>
          <w:sz w:val="32"/>
          <w:szCs w:val="32"/>
        </w:rPr>
      </w:pPr>
      <w:r>
        <w:rPr>
          <w:rFonts w:eastAsia="楷体_GB2312"/>
          <w:b/>
          <w:bCs/>
          <w:sz w:val="32"/>
          <w:szCs w:val="32"/>
        </w:rPr>
        <w:t>（二）公务用车购置及运行维护费支出</w:t>
      </w:r>
      <w:r>
        <w:rPr>
          <w:rFonts w:hint="eastAsia" w:eastAsia="楷体_GB2312"/>
          <w:b/>
          <w:bCs/>
          <w:sz w:val="32"/>
          <w:szCs w:val="32"/>
          <w:lang w:val="en-US" w:eastAsia="zh-CN"/>
        </w:rPr>
        <w:t>39.20</w:t>
      </w:r>
      <w:r>
        <w:rPr>
          <w:rFonts w:eastAsia="楷体_GB2312"/>
          <w:b/>
          <w:bCs/>
          <w:sz w:val="32"/>
          <w:szCs w:val="32"/>
        </w:rPr>
        <w:t>万元。</w:t>
      </w:r>
      <w:r>
        <w:rPr>
          <w:rFonts w:hint="eastAsia" w:ascii="仿宋_GB2312" w:eastAsia="仿宋_GB2312" w:cs="DengXian-Regular"/>
          <w:sz w:val="32"/>
          <w:szCs w:val="32"/>
        </w:rPr>
        <w:t>本部门2018年度公务用车购置及运行维护费比年初预算</w:t>
      </w:r>
      <w:r>
        <w:rPr>
          <w:rFonts w:eastAsia="仿宋_GB2312"/>
          <w:sz w:val="32"/>
          <w:szCs w:val="32"/>
        </w:rPr>
        <w:t>减少</w:t>
      </w:r>
      <w:r>
        <w:rPr>
          <w:rFonts w:hint="eastAsia" w:eastAsia="仿宋_GB2312"/>
          <w:sz w:val="32"/>
          <w:szCs w:val="32"/>
          <w:lang w:val="en-US" w:eastAsia="zh-CN"/>
        </w:rPr>
        <w:t>14.40</w:t>
      </w:r>
      <w:r>
        <w:rPr>
          <w:rFonts w:eastAsia="仿宋_GB2312"/>
          <w:sz w:val="32"/>
          <w:szCs w:val="32"/>
        </w:rPr>
        <w:t>万元</w:t>
      </w:r>
      <w:r>
        <w:rPr>
          <w:rFonts w:hint="eastAsia" w:ascii="仿宋_GB2312" w:eastAsia="仿宋_GB2312" w:cs="DengXian-Regular"/>
          <w:sz w:val="32"/>
          <w:szCs w:val="32"/>
        </w:rPr>
        <w:t>，</w:t>
      </w:r>
      <w:r>
        <w:rPr>
          <w:rFonts w:eastAsia="仿宋_GB2312"/>
          <w:sz w:val="32"/>
          <w:szCs w:val="32"/>
        </w:rPr>
        <w:t>降低</w:t>
      </w:r>
      <w:r>
        <w:rPr>
          <w:rFonts w:hint="eastAsia" w:eastAsia="仿宋_GB2312"/>
          <w:sz w:val="32"/>
          <w:szCs w:val="32"/>
          <w:lang w:val="en-US" w:eastAsia="zh-CN"/>
        </w:rPr>
        <w:t>26.87</w:t>
      </w:r>
      <w:r>
        <w:rPr>
          <w:rFonts w:eastAsia="仿宋_GB2312"/>
          <w:sz w:val="32"/>
          <w:szCs w:val="32"/>
        </w:rPr>
        <w:t>%</w:t>
      </w:r>
      <w:r>
        <w:rPr>
          <w:rFonts w:hint="eastAsia" w:ascii="仿宋_GB2312" w:eastAsia="仿宋_GB2312" w:cs="DengXian-Regular"/>
          <w:sz w:val="32"/>
          <w:szCs w:val="32"/>
        </w:rPr>
        <w:t>,主要是</w:t>
      </w:r>
      <w:r>
        <w:rPr>
          <w:rFonts w:hint="eastAsia" w:ascii="仿宋_GB2312" w:hAnsi="Arial" w:eastAsia="仿宋_GB2312" w:cs="仿宋_GB2312"/>
          <w:color w:val="333333"/>
          <w:sz w:val="32"/>
          <w:szCs w:val="32"/>
          <w:shd w:val="clear" w:color="auto" w:fill="FFFFFF"/>
        </w:rPr>
        <w:t>公车改革推行，调拨到文安县监察委公车6辆，使得公务用车运行维护费用下降</w:t>
      </w:r>
      <w:r>
        <w:rPr>
          <w:rFonts w:hint="eastAsia" w:ascii="仿宋_GB2312" w:eastAsia="仿宋_GB2312" w:cs="DengXian-Regular"/>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年度决算减少</w:t>
      </w:r>
      <w:r>
        <w:rPr>
          <w:rFonts w:hint="eastAsia" w:eastAsia="仿宋_GB2312"/>
          <w:sz w:val="32"/>
          <w:szCs w:val="32"/>
          <w:lang w:val="en-US" w:eastAsia="zh-CN"/>
        </w:rPr>
        <w:t>10.05</w:t>
      </w:r>
      <w:r>
        <w:rPr>
          <w:rFonts w:eastAsia="仿宋_GB2312"/>
          <w:sz w:val="32"/>
          <w:szCs w:val="32"/>
        </w:rPr>
        <w:t>万元，降低</w:t>
      </w:r>
      <w:r>
        <w:rPr>
          <w:rFonts w:hint="eastAsia" w:eastAsia="仿宋_GB2312"/>
          <w:sz w:val="32"/>
          <w:szCs w:val="32"/>
          <w:lang w:val="en-US" w:eastAsia="zh-CN"/>
        </w:rPr>
        <w:t>20.41</w:t>
      </w:r>
      <w:r>
        <w:rPr>
          <w:rFonts w:eastAsia="仿宋_GB2312"/>
          <w:sz w:val="32"/>
          <w:szCs w:val="32"/>
        </w:rPr>
        <w:t>%，主要是</w:t>
      </w:r>
      <w:r>
        <w:rPr>
          <w:rFonts w:hint="eastAsia" w:ascii="仿宋_GB2312" w:hAnsi="Arial" w:eastAsia="仿宋_GB2312" w:cs="仿宋_GB2312"/>
          <w:color w:val="333333"/>
          <w:sz w:val="32"/>
          <w:szCs w:val="32"/>
          <w:shd w:val="clear" w:color="auto" w:fill="FFFFFF"/>
        </w:rPr>
        <w:t>公车改革推行，调拨到文安县监察委公车6辆，使得公务用车运行维护费用下降</w:t>
      </w:r>
      <w:r>
        <w:rPr>
          <w:rFonts w:eastAsia="仿宋_GB2312"/>
          <w:sz w:val="32"/>
          <w:szCs w:val="32"/>
        </w:rPr>
        <w:t>。</w:t>
      </w:r>
      <w:r>
        <w:rPr>
          <w:rFonts w:eastAsia="仿宋_GB2312"/>
          <w:b/>
          <w:bCs/>
          <w:sz w:val="32"/>
          <w:szCs w:val="32"/>
        </w:rPr>
        <w:t>其中：</w:t>
      </w:r>
    </w:p>
    <w:p>
      <w:pPr>
        <w:adjustRightInd w:val="0"/>
        <w:snapToGrid w:val="0"/>
        <w:spacing w:line="584" w:lineRule="exact"/>
        <w:ind w:firstLine="643" w:firstLineChars="200"/>
        <w:rPr>
          <w:rFonts w:eastAsia="仿宋_GB2312"/>
          <w:sz w:val="32"/>
          <w:szCs w:val="32"/>
          <w:highlight w:val="yellow"/>
        </w:rPr>
      </w:pPr>
      <w:r>
        <w:rPr>
          <w:rFonts w:eastAsia="仿宋_GB2312"/>
          <w:b/>
          <w:sz w:val="32"/>
          <w:szCs w:val="32"/>
        </w:rPr>
        <w:t>公务用车购置费支出</w:t>
      </w:r>
      <w:r>
        <w:rPr>
          <w:rFonts w:hint="eastAsia" w:eastAsia="仿宋_GB2312"/>
          <w:b/>
          <w:sz w:val="32"/>
          <w:szCs w:val="32"/>
          <w:lang w:val="en-US" w:eastAsia="zh-CN"/>
        </w:rPr>
        <w:t>0</w:t>
      </w:r>
      <w:r>
        <w:rPr>
          <w:rFonts w:eastAsia="仿宋_GB2312"/>
          <w:b/>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年度公务用车购置数量</w:t>
      </w:r>
      <w:r>
        <w:rPr>
          <w:rFonts w:hint="eastAsia" w:eastAsia="仿宋_GB2312"/>
          <w:sz w:val="32"/>
          <w:szCs w:val="32"/>
          <w:lang w:val="en-US" w:eastAsia="zh-CN"/>
        </w:rPr>
        <w:t>0</w:t>
      </w:r>
      <w:r>
        <w:rPr>
          <w:rFonts w:eastAsia="仿宋_GB2312"/>
          <w:sz w:val="32"/>
          <w:szCs w:val="32"/>
        </w:rPr>
        <w:t>辆。公务用车购置费支出</w:t>
      </w:r>
      <w:r>
        <w:rPr>
          <w:rFonts w:hint="eastAsia" w:ascii="仿宋_GB2312" w:hAnsi="Times New Roman" w:eastAsia="仿宋_GB2312" w:cs="DengXian-Regular"/>
          <w:sz w:val="32"/>
          <w:szCs w:val="32"/>
          <w:lang w:eastAsia="zh-CN"/>
        </w:rPr>
        <w:t>与年初预算持平</w:t>
      </w:r>
      <w:r>
        <w:rPr>
          <w:rFonts w:hint="eastAsia" w:ascii="仿宋_GB2312" w:eastAsia="仿宋_GB2312" w:cs="DengXian-Regular"/>
          <w:sz w:val="32"/>
          <w:szCs w:val="32"/>
          <w:lang w:eastAsia="zh-CN"/>
        </w:rPr>
        <w:t>，主要是我单位未发生“公务用车购置费”经费支出</w:t>
      </w:r>
      <w:r>
        <w:rPr>
          <w:rFonts w:hint="eastAsia" w:ascii="仿宋_GB2312" w:hAnsi="Times New Roman" w:eastAsia="仿宋_GB2312" w:cs="DengXian-Regular"/>
          <w:sz w:val="32"/>
          <w:szCs w:val="32"/>
        </w:rPr>
        <w:t>；</w:t>
      </w:r>
      <w:r>
        <w:rPr>
          <w:rFonts w:hint="eastAsia" w:ascii="仿宋_GB2312" w:hAnsi="Times New Roman" w:eastAsia="仿宋_GB2312" w:cs="DengXian-Regular"/>
          <w:color w:val="000000"/>
          <w:sz w:val="32"/>
          <w:szCs w:val="32"/>
          <w:highlight w:val="none"/>
        </w:rPr>
        <w:t>与201</w:t>
      </w:r>
      <w:r>
        <w:rPr>
          <w:rFonts w:hint="eastAsia" w:ascii="仿宋_GB2312" w:eastAsia="仿宋_GB2312" w:cs="DengXian-Regular"/>
          <w:color w:val="000000"/>
          <w:sz w:val="32"/>
          <w:szCs w:val="32"/>
          <w:highlight w:val="none"/>
          <w:lang w:val="en-US" w:eastAsia="zh-CN"/>
        </w:rPr>
        <w:t>7</w:t>
      </w:r>
      <w:r>
        <w:rPr>
          <w:rFonts w:hint="eastAsia" w:ascii="仿宋_GB2312" w:hAnsi="Times New Roman" w:eastAsia="仿宋_GB2312" w:cs="DengXian-Regular"/>
          <w:color w:val="000000"/>
          <w:sz w:val="32"/>
          <w:szCs w:val="32"/>
          <w:highlight w:val="none"/>
        </w:rPr>
        <w:t>年度决算支出持平</w:t>
      </w:r>
      <w:r>
        <w:rPr>
          <w:rFonts w:hint="eastAsia" w:ascii="仿宋_GB2312" w:eastAsia="仿宋_GB2312" w:cs="DengXian-Regular"/>
          <w:sz w:val="32"/>
          <w:szCs w:val="32"/>
          <w:lang w:eastAsia="zh-CN"/>
        </w:rPr>
        <w:t>，主要是我单位未发生“公务用车购置费”经费支出</w:t>
      </w:r>
      <w:r>
        <w:rPr>
          <w:rFonts w:eastAsia="仿宋_GB2312"/>
          <w:sz w:val="32"/>
          <w:szCs w:val="32"/>
        </w:rPr>
        <w:t>。</w:t>
      </w:r>
    </w:p>
    <w:p>
      <w:pPr>
        <w:adjustRightInd w:val="0"/>
        <w:snapToGrid w:val="0"/>
        <w:spacing w:line="584" w:lineRule="exact"/>
        <w:ind w:firstLine="643" w:firstLineChars="200"/>
        <w:rPr>
          <w:rFonts w:eastAsia="仿宋_GB2312"/>
          <w:sz w:val="32"/>
          <w:szCs w:val="32"/>
          <w:highlight w:val="yellow"/>
        </w:rPr>
      </w:pPr>
      <w:r>
        <w:rPr>
          <w:rFonts w:eastAsia="仿宋_GB2312"/>
          <w:b/>
          <w:sz w:val="32"/>
          <w:szCs w:val="32"/>
        </w:rPr>
        <w:t>公务用车运行维护费支出</w:t>
      </w:r>
      <w:r>
        <w:rPr>
          <w:rFonts w:hint="eastAsia" w:eastAsia="仿宋_GB2312"/>
          <w:b/>
          <w:sz w:val="32"/>
          <w:szCs w:val="32"/>
          <w:lang w:val="en-US" w:eastAsia="zh-CN"/>
        </w:rPr>
        <w:t>39.20</w:t>
      </w:r>
      <w:r>
        <w:rPr>
          <w:rFonts w:eastAsia="仿宋_GB2312"/>
          <w:b/>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年末单位公务用车保有量</w:t>
      </w:r>
      <w:r>
        <w:rPr>
          <w:rFonts w:hint="eastAsia" w:eastAsia="仿宋_GB2312"/>
          <w:sz w:val="32"/>
          <w:szCs w:val="32"/>
          <w:lang w:val="en-US" w:eastAsia="zh-CN"/>
        </w:rPr>
        <w:t>14</w:t>
      </w:r>
      <w:r>
        <w:rPr>
          <w:rFonts w:eastAsia="仿宋_GB2312"/>
          <w:sz w:val="32"/>
          <w:szCs w:val="32"/>
        </w:rPr>
        <w:t>辆。公车运行维护费支出</w:t>
      </w:r>
      <w:r>
        <w:rPr>
          <w:rFonts w:hint="eastAsia" w:eastAsia="仿宋_GB2312"/>
          <w:sz w:val="32"/>
          <w:szCs w:val="32"/>
        </w:rPr>
        <w:t>比</w:t>
      </w:r>
      <w:r>
        <w:rPr>
          <w:rFonts w:eastAsia="仿宋_GB2312"/>
          <w:sz w:val="32"/>
          <w:szCs w:val="32"/>
        </w:rPr>
        <w:t>年初预算减少</w:t>
      </w:r>
      <w:r>
        <w:rPr>
          <w:rFonts w:hint="eastAsia" w:eastAsia="仿宋_GB2312"/>
          <w:sz w:val="32"/>
          <w:szCs w:val="32"/>
          <w:lang w:val="en-US" w:eastAsia="zh-CN"/>
        </w:rPr>
        <w:t>14.40</w:t>
      </w:r>
      <w:r>
        <w:rPr>
          <w:rFonts w:eastAsia="仿宋_GB2312"/>
          <w:sz w:val="32"/>
          <w:szCs w:val="32"/>
        </w:rPr>
        <w:t>万元，降低</w:t>
      </w:r>
      <w:r>
        <w:rPr>
          <w:rFonts w:hint="eastAsia" w:eastAsia="仿宋_GB2312"/>
          <w:sz w:val="32"/>
          <w:szCs w:val="32"/>
          <w:lang w:val="en-US" w:eastAsia="zh-CN"/>
        </w:rPr>
        <w:t>26.87</w:t>
      </w:r>
      <w:r>
        <w:rPr>
          <w:rFonts w:eastAsia="仿宋_GB2312"/>
          <w:sz w:val="32"/>
          <w:szCs w:val="32"/>
        </w:rPr>
        <w:t>%，主要是</w:t>
      </w:r>
      <w:r>
        <w:rPr>
          <w:rFonts w:hint="eastAsia" w:ascii="仿宋_GB2312" w:hAnsi="Arial" w:eastAsia="仿宋_GB2312" w:cs="仿宋_GB2312"/>
          <w:color w:val="333333"/>
          <w:sz w:val="32"/>
          <w:szCs w:val="32"/>
          <w:shd w:val="clear" w:color="auto" w:fill="FFFFFF"/>
        </w:rPr>
        <w:t>公车改革推行，调拨到文安县监察委公车6辆，使得公务用车运行维护费用下降</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年度决算减少</w:t>
      </w:r>
      <w:r>
        <w:rPr>
          <w:rFonts w:hint="eastAsia" w:eastAsia="仿宋_GB2312"/>
          <w:sz w:val="32"/>
          <w:szCs w:val="32"/>
          <w:lang w:val="en-US" w:eastAsia="zh-CN"/>
        </w:rPr>
        <w:t>10.05</w:t>
      </w:r>
      <w:r>
        <w:rPr>
          <w:rFonts w:eastAsia="仿宋_GB2312"/>
          <w:sz w:val="32"/>
          <w:szCs w:val="32"/>
        </w:rPr>
        <w:t>万元，降低</w:t>
      </w:r>
      <w:r>
        <w:rPr>
          <w:rFonts w:hint="eastAsia" w:eastAsia="仿宋_GB2312"/>
          <w:sz w:val="32"/>
          <w:szCs w:val="32"/>
          <w:lang w:val="en-US" w:eastAsia="zh-CN"/>
        </w:rPr>
        <w:t>20.41</w:t>
      </w:r>
      <w:r>
        <w:rPr>
          <w:rFonts w:eastAsia="仿宋_GB2312"/>
          <w:sz w:val="32"/>
          <w:szCs w:val="32"/>
        </w:rPr>
        <w:t>%，主要是</w:t>
      </w:r>
      <w:r>
        <w:rPr>
          <w:rFonts w:hint="eastAsia" w:ascii="仿宋_GB2312" w:hAnsi="Arial" w:eastAsia="仿宋_GB2312" w:cs="仿宋_GB2312"/>
          <w:color w:val="333333"/>
          <w:sz w:val="32"/>
          <w:szCs w:val="32"/>
          <w:shd w:val="clear" w:color="auto" w:fill="FFFFFF"/>
        </w:rPr>
        <w:t>公车改革推行，调拨到文安县监察委公车6辆，使得公务用车运行维护费用下降</w:t>
      </w:r>
      <w:r>
        <w:rPr>
          <w:rFonts w:eastAsia="仿宋_GB2312"/>
          <w:sz w:val="32"/>
          <w:szCs w:val="32"/>
        </w:rPr>
        <w:t>。</w:t>
      </w:r>
    </w:p>
    <w:p>
      <w:pPr>
        <w:adjustRightInd w:val="0"/>
        <w:snapToGrid w:val="0"/>
        <w:spacing w:line="584" w:lineRule="exact"/>
        <w:ind w:firstLine="643" w:firstLineChars="200"/>
        <w:rPr>
          <w:rFonts w:eastAsia="仿宋_GB2312"/>
          <w:sz w:val="32"/>
          <w:szCs w:val="32"/>
          <w:highlight w:val="yellow"/>
        </w:rPr>
      </w:pPr>
      <w:r>
        <w:rPr>
          <w:rFonts w:eastAsia="楷体_GB2312"/>
          <w:b/>
          <w:bCs/>
          <w:sz w:val="32"/>
          <w:szCs w:val="32"/>
        </w:rPr>
        <w:t>（三）公务接待费支出</w:t>
      </w:r>
      <w:r>
        <w:rPr>
          <w:rFonts w:hint="eastAsia" w:eastAsia="楷体_GB2312"/>
          <w:b/>
          <w:bCs/>
          <w:sz w:val="32"/>
          <w:szCs w:val="32"/>
          <w:lang w:val="en-US" w:eastAsia="zh-CN"/>
        </w:rPr>
        <w:t>0</w:t>
      </w:r>
      <w:r>
        <w:rPr>
          <w:rFonts w:eastAsia="楷体_GB2312"/>
          <w:b/>
          <w:bCs/>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年度公务接待共</w:t>
      </w:r>
      <w:r>
        <w:rPr>
          <w:rFonts w:hint="eastAsia" w:eastAsia="仿宋_GB2312"/>
          <w:sz w:val="32"/>
          <w:szCs w:val="32"/>
          <w:lang w:val="en-US" w:eastAsia="zh-CN"/>
        </w:rPr>
        <w:t>0</w:t>
      </w:r>
      <w:r>
        <w:rPr>
          <w:rFonts w:eastAsia="仿宋_GB2312"/>
          <w:sz w:val="32"/>
          <w:szCs w:val="32"/>
        </w:rPr>
        <w:t>批次、</w:t>
      </w:r>
      <w:r>
        <w:rPr>
          <w:rFonts w:hint="eastAsia" w:eastAsia="仿宋_GB2312"/>
          <w:sz w:val="32"/>
          <w:szCs w:val="32"/>
          <w:lang w:val="en-US" w:eastAsia="zh-CN"/>
        </w:rPr>
        <w:t>0</w:t>
      </w:r>
      <w:r>
        <w:rPr>
          <w:rFonts w:eastAsia="仿宋_GB2312"/>
          <w:sz w:val="32"/>
          <w:szCs w:val="32"/>
        </w:rPr>
        <w:t>人次。公务接待费支出</w:t>
      </w:r>
      <w:r>
        <w:rPr>
          <w:rFonts w:hint="eastAsia" w:eastAsia="仿宋_GB2312"/>
          <w:sz w:val="32"/>
          <w:szCs w:val="32"/>
          <w:lang w:eastAsia="zh-CN"/>
        </w:rPr>
        <w:t>与</w:t>
      </w:r>
      <w:r>
        <w:rPr>
          <w:rFonts w:hint="eastAsia" w:ascii="仿宋_GB2312" w:hAnsi="Times New Roman" w:eastAsia="仿宋_GB2312" w:cs="DengXian-Regular"/>
          <w:sz w:val="32"/>
          <w:szCs w:val="32"/>
          <w:lang w:eastAsia="zh-CN"/>
        </w:rPr>
        <w:t>年初预算持平</w:t>
      </w:r>
      <w:r>
        <w:rPr>
          <w:rFonts w:hint="eastAsia" w:ascii="仿宋_GB2312" w:eastAsia="仿宋_GB2312" w:cs="DengXian-Regular"/>
          <w:sz w:val="32"/>
          <w:szCs w:val="32"/>
          <w:lang w:eastAsia="zh-CN"/>
        </w:rPr>
        <w:t>，主要是我单位未发生“公务接待费”经费支出</w:t>
      </w:r>
      <w:r>
        <w:rPr>
          <w:rFonts w:hint="eastAsia" w:ascii="仿宋_GB2312" w:hAnsi="Times New Roman" w:eastAsia="仿宋_GB2312" w:cs="DengXian-Regular"/>
          <w:sz w:val="32"/>
          <w:szCs w:val="32"/>
        </w:rPr>
        <w:t>；</w:t>
      </w:r>
      <w:r>
        <w:rPr>
          <w:rFonts w:hint="eastAsia" w:ascii="仿宋_GB2312" w:hAnsi="Times New Roman" w:eastAsia="仿宋_GB2312" w:cs="DengXian-Regular"/>
          <w:color w:val="000000"/>
          <w:sz w:val="32"/>
          <w:szCs w:val="32"/>
          <w:highlight w:val="none"/>
        </w:rPr>
        <w:t>与20</w:t>
      </w:r>
      <w:r>
        <w:rPr>
          <w:rFonts w:hint="eastAsia" w:ascii="仿宋_GB2312" w:eastAsia="仿宋_GB2312" w:cs="DengXian-Regular"/>
          <w:color w:val="000000"/>
          <w:sz w:val="32"/>
          <w:szCs w:val="32"/>
          <w:highlight w:val="none"/>
          <w:lang w:val="en-US" w:eastAsia="zh-CN"/>
        </w:rPr>
        <w:t>17</w:t>
      </w:r>
      <w:r>
        <w:rPr>
          <w:rFonts w:hint="eastAsia" w:ascii="仿宋_GB2312" w:hAnsi="Times New Roman" w:eastAsia="仿宋_GB2312" w:cs="DengXian-Regular"/>
          <w:color w:val="000000"/>
          <w:sz w:val="32"/>
          <w:szCs w:val="32"/>
          <w:highlight w:val="none"/>
        </w:rPr>
        <w:t>年度决算支出持平</w:t>
      </w:r>
      <w:r>
        <w:rPr>
          <w:rFonts w:hint="eastAsia" w:ascii="仿宋_GB2312" w:eastAsia="仿宋_GB2312" w:cs="DengXian-Regular"/>
          <w:sz w:val="32"/>
          <w:szCs w:val="32"/>
          <w:lang w:eastAsia="zh-CN"/>
        </w:rPr>
        <w:t>，主要是我单位未发生“公务接待费”经费支出</w:t>
      </w:r>
      <w:r>
        <w:rPr>
          <w:rFonts w:eastAsia="仿宋_GB2312"/>
          <w:sz w:val="32"/>
          <w:szCs w:val="32"/>
        </w:rPr>
        <w:t>。</w:t>
      </w:r>
    </w:p>
    <w:p>
      <w:pPr>
        <w:adjustRightInd w:val="0"/>
        <w:snapToGrid w:val="0"/>
        <w:spacing w:after="0" w:line="580" w:lineRule="exact"/>
        <w:ind w:firstLine="640" w:firstLineChars="200"/>
        <w:rPr>
          <w:rFonts w:ascii="黑体" w:eastAsia="黑体"/>
          <w:sz w:val="32"/>
          <w:szCs w:val="40"/>
        </w:rPr>
      </w:pPr>
      <w:r>
        <w:rPr>
          <w:rFonts w:hint="eastAsia" w:ascii="黑体" w:eastAsia="黑体"/>
          <w:sz w:val="32"/>
          <w:szCs w:val="40"/>
        </w:rPr>
        <w:t>六、预算绩效情况说明</w:t>
      </w:r>
    </w:p>
    <w:p>
      <w:pPr>
        <w:pStyle w:val="11"/>
        <w:widowControl/>
        <w:shd w:val="clear" w:color="auto" w:fill="FFFFFF"/>
        <w:spacing w:line="405" w:lineRule="atLeas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（一）预算绩效管理工作开展情况。</w:t>
      </w:r>
    </w:p>
    <w:p>
      <w:pPr>
        <w:pStyle w:val="34"/>
        <w:numPr>
          <w:ilvl w:val="0"/>
          <w:numId w:val="0"/>
        </w:num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eastAsia="zh-CN"/>
        </w:rPr>
        <w:t>我院根据县财政局有关绩效管理工作的相关规定，认真开展预算绩效项目绩效自评工作，按照通知要求，我院明确了由办公室（财务室）牵头，相关业务科室具体负责绩效评价，并及时按照绩效评价相关要求，制定绩效管理办法和绩效评价工作等方案。</w:t>
      </w:r>
      <w:r>
        <w:rPr>
          <w:rFonts w:hint="eastAsia" w:ascii="仿宋" w:hAnsi="仿宋" w:eastAsia="仿宋" w:cs="仿宋"/>
          <w:sz w:val="32"/>
          <w:szCs w:val="32"/>
          <w:lang w:val="en-US" w:eastAsia="zh-CN"/>
        </w:rPr>
        <w:t>2018年项目预算为528.85万元，实际到位资金508.95万元，完成全年预算数的96.24%.</w:t>
      </w:r>
    </w:p>
    <w:p>
      <w:pPr>
        <w:numPr>
          <w:ilvl w:val="0"/>
          <w:numId w:val="2"/>
        </w:numPr>
        <w:adjustRightInd w:val="0"/>
        <w:snapToGrid w:val="0"/>
        <w:spacing w:after="0"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项目绩效自评结果。</w:t>
      </w:r>
    </w:p>
    <w:p>
      <w:pPr>
        <w:numPr>
          <w:ilvl w:val="0"/>
          <w:numId w:val="0"/>
        </w:numPr>
        <w:adjustRightInd w:val="0"/>
        <w:snapToGrid w:val="0"/>
        <w:spacing w:after="0" w:line="580" w:lineRule="exact"/>
        <w:ind w:firstLine="640" w:firstLineChars="200"/>
        <w:rPr>
          <w:rFonts w:hint="eastAsia" w:ascii="仿宋_GB2312" w:eastAsia="仿宋_GB2312" w:cs="DengXian-Regular"/>
          <w:sz w:val="32"/>
          <w:szCs w:val="32"/>
          <w:highlight w:val="none"/>
        </w:rPr>
      </w:pPr>
      <w:r>
        <w:rPr>
          <w:rFonts w:hint="eastAsia" w:ascii="仿宋_GB2312" w:eastAsia="仿宋_GB2312" w:cs="DengXian-Regular"/>
          <w:sz w:val="32"/>
          <w:szCs w:val="32"/>
          <w:highlight w:val="none"/>
        </w:rPr>
        <w:t>根据文件精神，我院中央及省转移支付资金全部用于办案业务装备经费及办理各类案件所需经费开支，确保办案业务需要</w:t>
      </w:r>
      <w:r>
        <w:rPr>
          <w:rFonts w:hint="eastAsia" w:ascii="仿宋_GB2312" w:eastAsia="仿宋_GB2312" w:cs="DengXian-Regular"/>
          <w:sz w:val="32"/>
          <w:szCs w:val="32"/>
          <w:highlight w:val="none"/>
          <w:lang w:eastAsia="zh-CN"/>
        </w:rPr>
        <w:t>；</w:t>
      </w:r>
      <w:r>
        <w:rPr>
          <w:rFonts w:hint="eastAsia" w:ascii="仿宋_GB2312" w:eastAsia="仿宋_GB2312" w:cs="DengXian-Regular"/>
          <w:sz w:val="32"/>
          <w:szCs w:val="32"/>
          <w:highlight w:val="none"/>
        </w:rPr>
        <w:t>改善干警办公环境，提高办案质量和办案效率，维护社会公平正义。</w:t>
      </w:r>
    </w:p>
    <w:p>
      <w:pPr>
        <w:numPr>
          <w:ilvl w:val="0"/>
          <w:numId w:val="0"/>
        </w:numPr>
        <w:adjustRightInd w:val="0"/>
        <w:snapToGrid w:val="0"/>
        <w:spacing w:after="0" w:line="580" w:lineRule="exact"/>
        <w:ind w:firstLine="640" w:firstLineChars="200"/>
        <w:rPr>
          <w:rFonts w:hint="eastAsia" w:ascii="仿宋_GB2312" w:eastAsia="仿宋_GB2312" w:cs="DengXian-Regular"/>
          <w:sz w:val="32"/>
          <w:szCs w:val="32"/>
          <w:highlight w:val="none"/>
          <w:lang w:val="en-US" w:eastAsia="zh-CN"/>
        </w:rPr>
      </w:pPr>
      <w:r>
        <w:rPr>
          <w:rFonts w:hint="eastAsia" w:ascii="仿宋_GB2312" w:eastAsia="仿宋_GB2312" w:cs="DengXian-Regular"/>
          <w:sz w:val="32"/>
          <w:szCs w:val="32"/>
          <w:highlight w:val="none"/>
        </w:rPr>
        <w:t>所有支出经费已全部用于办案业务装备及办理各类案件经费开支，保障了办案效率</w:t>
      </w:r>
      <w:r>
        <w:rPr>
          <w:rFonts w:hint="eastAsia" w:ascii="仿宋_GB2312" w:eastAsia="仿宋_GB2312" w:cs="DengXian-Regular"/>
          <w:sz w:val="32"/>
          <w:szCs w:val="32"/>
          <w:highlight w:val="none"/>
          <w:lang w:eastAsia="zh-CN"/>
        </w:rPr>
        <w:t>，改善了办公环境，得到干警的满意。</w:t>
      </w:r>
      <w:r>
        <w:rPr>
          <w:rFonts w:hint="eastAsia" w:ascii="仿宋_GB2312" w:eastAsia="仿宋_GB2312" w:cs="DengXian-Regular"/>
          <w:sz w:val="32"/>
          <w:szCs w:val="32"/>
          <w:highlight w:val="none"/>
          <w:lang w:val="en-US" w:eastAsia="zh-CN"/>
        </w:rPr>
        <w:t xml:space="preserve">      </w:t>
      </w:r>
    </w:p>
    <w:p>
      <w:pPr>
        <w:numPr>
          <w:ilvl w:val="0"/>
          <w:numId w:val="0"/>
        </w:numPr>
        <w:adjustRightInd w:val="0"/>
        <w:snapToGrid w:val="0"/>
        <w:spacing w:after="0" w:line="580" w:lineRule="exact"/>
        <w:ind w:firstLine="640" w:firstLineChars="200"/>
        <w:rPr>
          <w:rFonts w:hint="eastAsia" w:ascii="仿宋_GB2312" w:eastAsia="仿宋_GB2312" w:cs="DengXian-Regular"/>
          <w:sz w:val="32"/>
          <w:szCs w:val="32"/>
          <w:highlight w:val="none"/>
          <w:lang w:eastAsia="zh-CN"/>
        </w:rPr>
      </w:pPr>
      <w:r>
        <w:rPr>
          <w:rFonts w:hint="eastAsia" w:ascii="仿宋_GB2312" w:eastAsia="仿宋_GB2312" w:cs="DengXian-Regular"/>
          <w:sz w:val="32"/>
          <w:szCs w:val="32"/>
          <w:highlight w:val="none"/>
          <w:lang w:eastAsia="zh-CN"/>
        </w:rPr>
        <w:t>由于案件的不确定性，应加强预算绩效管理，预算安排与实际项目工作进度相结合，在合理合法的情况下，按需分配资金。通过此次绩效自评结果，让绩效评价指标更符合单位的实际和具有可操作性。</w:t>
      </w:r>
    </w:p>
    <w:p>
      <w:pPr>
        <w:adjustRightInd w:val="0"/>
        <w:snapToGrid w:val="0"/>
        <w:spacing w:after="0"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（三）重点项目绩效评价结果。</w:t>
      </w:r>
    </w:p>
    <w:p>
      <w:pPr>
        <w:adjustRightInd w:val="0"/>
        <w:snapToGrid w:val="0"/>
        <w:spacing w:after="0" w:line="580" w:lineRule="exact"/>
        <w:ind w:firstLine="640" w:firstLineChars="200"/>
        <w:rPr>
          <w:rFonts w:hint="eastAsia" w:ascii="仿宋_GB2312" w:eastAsia="仿宋_GB2312" w:cs="DengXian-Regular"/>
          <w:sz w:val="32"/>
          <w:szCs w:val="32"/>
          <w:highlight w:val="none"/>
          <w:lang w:eastAsia="zh-CN"/>
        </w:rPr>
      </w:pPr>
      <w:r>
        <w:rPr>
          <w:rFonts w:hint="eastAsia" w:ascii="仿宋_GB2312" w:eastAsia="仿宋_GB2312" w:cs="DengXian-Regular"/>
          <w:sz w:val="32"/>
          <w:szCs w:val="32"/>
        </w:rPr>
        <w:t>为加强预算绩效管理，切实提高财政资金使用效益，进一步做好2018年度绩效评价工作，我单位对“</w:t>
      </w:r>
      <w:r>
        <w:rPr>
          <w:rFonts w:hint="eastAsia" w:ascii="宋体" w:hAnsi="宋体" w:cs="宋体"/>
          <w:sz w:val="32"/>
          <w:szCs w:val="32"/>
        </w:rPr>
        <w:t>中央政法转移支付</w:t>
      </w:r>
      <w:r>
        <w:rPr>
          <w:rFonts w:hint="eastAsia" w:ascii="宋体" w:hAnsi="宋体" w:cs="宋体"/>
          <w:sz w:val="32"/>
          <w:szCs w:val="32"/>
          <w:lang w:eastAsia="zh-CN"/>
        </w:rPr>
        <w:t>资金</w:t>
      </w:r>
      <w:r>
        <w:rPr>
          <w:rFonts w:hint="eastAsia" w:ascii="仿宋_GB2312" w:eastAsia="仿宋_GB2312" w:cs="DengXian-Regular"/>
          <w:sz w:val="32"/>
          <w:szCs w:val="32"/>
        </w:rPr>
        <w:t>”项目进行了重点绩效评价。案件查办质量明显提高，评价结果为优</w:t>
      </w:r>
      <w:r>
        <w:rPr>
          <w:rFonts w:hint="eastAsia" w:eastAsia="仿宋_GB2312"/>
          <w:sz w:val="32"/>
          <w:szCs w:val="32"/>
          <w:highlight w:val="none"/>
          <w:lang w:eastAsia="zh-CN"/>
        </w:rPr>
        <w:t>。</w:t>
      </w:r>
    </w:p>
    <w:p>
      <w:pPr>
        <w:pStyle w:val="3"/>
        <w:spacing w:before="0" w:after="0" w:line="580" w:lineRule="exact"/>
        <w:ind w:firstLine="640" w:firstLineChars="200"/>
        <w:rPr>
          <w:rFonts w:ascii="黑体" w:eastAsia="黑体" w:cs="Times New Roman"/>
          <w:b w:val="0"/>
          <w:bCs w:val="0"/>
        </w:rPr>
      </w:pPr>
      <w:r>
        <w:rPr>
          <w:rFonts w:hint="eastAsia" w:ascii="黑体" w:eastAsia="黑体" w:cs="Times New Roman"/>
          <w:b w:val="0"/>
          <w:bCs w:val="0"/>
        </w:rPr>
        <w:t>七、其他重要事项的说明</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（一）机关运行经费情况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本部门2018年度机关运行经费支出</w:t>
      </w:r>
      <w:r>
        <w:rPr>
          <w:rFonts w:hint="eastAsia" w:ascii="仿宋_GB2312" w:eastAsia="仿宋_GB2312" w:cs="DengXian-Regular"/>
          <w:sz w:val="32"/>
          <w:szCs w:val="32"/>
          <w:lang w:val="en-US" w:eastAsia="zh-CN"/>
        </w:rPr>
        <w:t>252.44</w:t>
      </w:r>
      <w:r>
        <w:rPr>
          <w:rFonts w:hint="eastAsia" w:ascii="仿宋_GB2312" w:eastAsia="仿宋_GB2312" w:cs="DengXian-Regular"/>
          <w:sz w:val="32"/>
          <w:szCs w:val="32"/>
        </w:rPr>
        <w:t>万元，比年初预算数增加</w:t>
      </w:r>
      <w:r>
        <w:rPr>
          <w:rFonts w:hint="eastAsia" w:ascii="仿宋_GB2312" w:eastAsia="仿宋_GB2312" w:cs="DengXian-Regular"/>
          <w:sz w:val="32"/>
          <w:szCs w:val="32"/>
          <w:lang w:val="en-US" w:eastAsia="zh-CN"/>
        </w:rPr>
        <w:t>62.04</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32.58</w:t>
      </w:r>
      <w:r>
        <w:rPr>
          <w:rFonts w:eastAsia="仿宋_GB2312"/>
          <w:sz w:val="32"/>
          <w:szCs w:val="32"/>
        </w:rPr>
        <w:t>%</w:t>
      </w:r>
      <w:r>
        <w:rPr>
          <w:rFonts w:hint="eastAsia" w:ascii="仿宋_GB2312" w:eastAsia="仿宋_GB2312" w:cs="DengXian-Regular"/>
          <w:sz w:val="32"/>
          <w:szCs w:val="32"/>
        </w:rPr>
        <w:t>。主要是</w:t>
      </w:r>
      <w:r>
        <w:rPr>
          <w:rFonts w:hint="eastAsia" w:ascii="仿宋_GB2312" w:hAnsi="Arial" w:eastAsia="仿宋_GB2312" w:cs="仿宋_GB2312"/>
          <w:color w:val="333333"/>
          <w:sz w:val="32"/>
          <w:szCs w:val="32"/>
          <w:shd w:val="clear" w:color="auto" w:fill="FFFFFF"/>
        </w:rPr>
        <w:t>2018年我院公用经费充足，机关运行经费增加</w:t>
      </w:r>
      <w:r>
        <w:rPr>
          <w:rFonts w:hint="eastAsia" w:ascii="仿宋_GB2312" w:eastAsia="仿宋_GB2312" w:cs="DengXian-Regular"/>
          <w:sz w:val="32"/>
          <w:szCs w:val="32"/>
        </w:rPr>
        <w:t>。</w:t>
      </w:r>
      <w:r>
        <w:rPr>
          <w:rFonts w:eastAsia="仿宋_GB2312"/>
          <w:sz w:val="32"/>
          <w:szCs w:val="32"/>
        </w:rPr>
        <w:t>较201</w:t>
      </w:r>
      <w:r>
        <w:rPr>
          <w:rFonts w:hint="eastAsia" w:eastAsia="仿宋_GB2312"/>
          <w:sz w:val="32"/>
          <w:szCs w:val="32"/>
        </w:rPr>
        <w:t>7</w:t>
      </w:r>
      <w:r>
        <w:rPr>
          <w:rFonts w:eastAsia="仿宋_GB2312"/>
          <w:sz w:val="32"/>
          <w:szCs w:val="32"/>
        </w:rPr>
        <w:t>年度决算增加</w:t>
      </w:r>
      <w:r>
        <w:rPr>
          <w:rFonts w:hint="eastAsia" w:eastAsia="仿宋_GB2312"/>
          <w:sz w:val="32"/>
          <w:szCs w:val="32"/>
          <w:lang w:val="en-US" w:eastAsia="zh-CN"/>
        </w:rPr>
        <w:t>50.32</w:t>
      </w:r>
      <w:r>
        <w:rPr>
          <w:rFonts w:eastAsia="仿宋_GB2312"/>
          <w:sz w:val="32"/>
          <w:szCs w:val="32"/>
        </w:rPr>
        <w:t>万元，增长</w:t>
      </w:r>
      <w:r>
        <w:rPr>
          <w:rFonts w:hint="eastAsia" w:eastAsia="仿宋_GB2312"/>
          <w:sz w:val="32"/>
          <w:szCs w:val="32"/>
          <w:lang w:val="en-US" w:eastAsia="zh-CN"/>
        </w:rPr>
        <w:t>24.90</w:t>
      </w:r>
      <w:r>
        <w:rPr>
          <w:rFonts w:eastAsia="仿宋_GB2312"/>
          <w:sz w:val="32"/>
          <w:szCs w:val="32"/>
        </w:rPr>
        <w:t>%，主要是</w:t>
      </w:r>
      <w:r>
        <w:rPr>
          <w:rFonts w:hint="eastAsia" w:ascii="仿宋_GB2312" w:hAnsi="Arial" w:eastAsia="仿宋_GB2312" w:cs="仿宋_GB2312"/>
          <w:color w:val="333333"/>
          <w:sz w:val="32"/>
          <w:szCs w:val="32"/>
          <w:shd w:val="clear" w:color="auto" w:fill="FFFFFF"/>
        </w:rPr>
        <w:t>2018年我院</w:t>
      </w:r>
      <w:r>
        <w:rPr>
          <w:rFonts w:hint="eastAsia" w:ascii="仿宋_GB2312" w:hAnsi="Arial" w:eastAsia="仿宋_GB2312" w:cs="仿宋_GB2312"/>
          <w:color w:val="333333"/>
          <w:sz w:val="32"/>
          <w:szCs w:val="32"/>
          <w:shd w:val="clear" w:color="auto" w:fill="FFFFFF"/>
          <w:lang w:eastAsia="zh-CN"/>
        </w:rPr>
        <w:t>办公费</w:t>
      </w:r>
      <w:r>
        <w:rPr>
          <w:rFonts w:hint="eastAsia" w:ascii="仿宋_GB2312" w:hAnsi="Arial" w:eastAsia="仿宋_GB2312" w:cs="仿宋_GB2312"/>
          <w:color w:val="333333"/>
          <w:sz w:val="32"/>
          <w:szCs w:val="32"/>
          <w:shd w:val="clear" w:color="auto" w:fill="FFFFFF"/>
        </w:rPr>
        <w:t>增加</w:t>
      </w:r>
      <w:r>
        <w:rPr>
          <w:rFonts w:eastAsia="仿宋_GB2312"/>
          <w:sz w:val="32"/>
          <w:szCs w:val="32"/>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（二）政府采购情况</w:t>
      </w:r>
    </w:p>
    <w:p>
      <w:pPr>
        <w:widowControl/>
        <w:spacing w:after="0" w:line="580" w:lineRule="exact"/>
        <w:jc w:val="left"/>
        <w:rPr>
          <w:rFonts w:hint="eastAsia" w:ascii="仿宋_GB2312" w:hAnsi="Arial" w:eastAsia="仿宋_GB2312" w:cs="仿宋_GB2312"/>
          <w:color w:val="333333"/>
          <w:sz w:val="32"/>
          <w:szCs w:val="32"/>
          <w:shd w:val="clear" w:color="auto" w:fill="FFFFFF"/>
        </w:rPr>
      </w:pPr>
      <w:r>
        <w:rPr>
          <w:rFonts w:hint="eastAsia" w:ascii="仿宋_GB2312" w:hAnsi="Arial" w:eastAsia="仿宋_GB2312" w:cs="仿宋_GB2312"/>
          <w:color w:val="333333"/>
          <w:sz w:val="32"/>
          <w:szCs w:val="32"/>
          <w:shd w:val="clear" w:color="auto" w:fill="FFFFFF"/>
          <w:lang w:val="en-US" w:eastAsia="zh-CN"/>
        </w:rPr>
        <w:t xml:space="preserve">     </w:t>
      </w:r>
      <w:r>
        <w:rPr>
          <w:rFonts w:hint="eastAsia" w:ascii="仿宋_GB2312" w:eastAsia="仿宋_GB2312" w:cs="DengXian-Regular"/>
          <w:sz w:val="32"/>
          <w:szCs w:val="32"/>
        </w:rPr>
        <w:t>本部门2018年度政府采购支出总额</w:t>
      </w:r>
      <w:r>
        <w:rPr>
          <w:rFonts w:hint="eastAsia" w:ascii="仿宋_GB2312" w:hAnsi="Arial" w:eastAsia="仿宋_GB2312" w:cs="仿宋_GB2312"/>
          <w:color w:val="333333"/>
          <w:sz w:val="32"/>
          <w:szCs w:val="32"/>
          <w:shd w:val="clear" w:color="auto" w:fill="FFFFFF"/>
        </w:rPr>
        <w:t>207.65</w:t>
      </w:r>
      <w:r>
        <w:rPr>
          <w:rFonts w:hint="eastAsia" w:ascii="仿宋_GB2312" w:eastAsia="仿宋_GB2312" w:cs="DengXian-Regular"/>
          <w:sz w:val="32"/>
          <w:szCs w:val="32"/>
        </w:rPr>
        <w:t>万元，从采购类型来看，</w:t>
      </w:r>
      <w:r>
        <w:rPr>
          <w:rFonts w:ascii="仿宋_GB2312" w:hAnsi="仿宋_GB2312" w:eastAsia="仿宋_GB2312" w:cs="仿宋_GB2312"/>
          <w:color w:val="000000"/>
          <w:kern w:val="0"/>
          <w:sz w:val="32"/>
          <w:szCs w:val="32"/>
        </w:rPr>
        <w:t>政府采购货物支出</w:t>
      </w:r>
      <w:r>
        <w:rPr>
          <w:rFonts w:hint="eastAsia" w:ascii="仿宋_GB2312" w:hAnsi="Arial" w:eastAsia="仿宋_GB2312" w:cs="仿宋_GB2312"/>
          <w:color w:val="333333"/>
          <w:sz w:val="32"/>
          <w:szCs w:val="32"/>
          <w:shd w:val="clear" w:color="auto" w:fill="FFFFFF"/>
        </w:rPr>
        <w:t>207.65</w:t>
      </w:r>
      <w:r>
        <w:rPr>
          <w:rFonts w:ascii="仿宋_GB2312" w:hAnsi="仿宋_GB2312" w:eastAsia="仿宋_GB2312" w:cs="仿宋_GB2312"/>
          <w:color w:val="000000"/>
          <w:kern w:val="0"/>
          <w:sz w:val="32"/>
          <w:szCs w:val="32"/>
        </w:rPr>
        <w:t>万元、政府采购工程支出</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万元、政府采购服务支出</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万元。授予中小企业合同金</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w:t>
      </w:r>
      <w:r>
        <w:rPr>
          <w:rFonts w:ascii="仿宋_GB2312" w:hAnsi="仿宋_GB2312" w:eastAsia="仿宋_GB2312" w:cs="仿宋_GB2312"/>
          <w:color w:val="000000"/>
          <w:kern w:val="0"/>
          <w:sz w:val="32"/>
          <w:szCs w:val="32"/>
        </w:rPr>
        <w:t>其中授予小微企业合同金额</w:t>
      </w:r>
      <w:r>
        <w:rPr>
          <w:rFonts w:hint="eastAsia" w:ascii="仿宋_GB2312" w:hAnsi="Arial" w:eastAsia="仿宋_GB2312" w:cs="仿宋_GB2312"/>
          <w:color w:val="333333"/>
          <w:sz w:val="32"/>
          <w:szCs w:val="32"/>
          <w:shd w:val="clear" w:color="auto" w:fill="FFFFFF"/>
        </w:rPr>
        <w:t>207.65</w:t>
      </w:r>
      <w:r>
        <w:rPr>
          <w:rFonts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lang w:val="en-US" w:eastAsia="zh-CN"/>
        </w:rPr>
        <w:t>100</w:t>
      </w:r>
      <w:r>
        <w:rPr>
          <w:rFonts w:ascii="仿宋_GB2312" w:hAnsi="仿宋_GB2312" w:eastAsia="仿宋_GB2312" w:cs="仿宋_GB2312"/>
          <w:color w:val="000000"/>
          <w:kern w:val="0"/>
          <w:sz w:val="32"/>
          <w:szCs w:val="32"/>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（三）国有资产占用情况</w:t>
      </w:r>
    </w:p>
    <w:p>
      <w:pPr>
        <w:adjustRightInd w:val="0"/>
        <w:snapToGrid w:val="0"/>
        <w:spacing w:after="0" w:line="580" w:lineRule="exact"/>
        <w:ind w:firstLine="640" w:firstLineChars="200"/>
        <w:rPr>
          <w:rFonts w:hint="eastAsia" w:ascii="仿宋_GB2312" w:eastAsia="仿宋_GB2312" w:cs="DengXian-Regular"/>
          <w:sz w:val="32"/>
          <w:szCs w:val="32"/>
          <w:lang w:eastAsia="zh-CN"/>
        </w:rPr>
      </w:pPr>
      <w:r>
        <w:rPr>
          <w:rFonts w:hint="eastAsia" w:ascii="仿宋_GB2312" w:eastAsia="仿宋_GB2312" w:cs="DengXian-Regular"/>
          <w:sz w:val="32"/>
          <w:szCs w:val="32"/>
        </w:rPr>
        <w:t>截至2018年12月31日，本部门共有车辆</w:t>
      </w:r>
      <w:r>
        <w:rPr>
          <w:rFonts w:hint="eastAsia" w:ascii="仿宋_GB2312" w:eastAsia="仿宋_GB2312" w:cs="DengXian-Regular"/>
          <w:sz w:val="32"/>
          <w:szCs w:val="32"/>
          <w:lang w:val="en-US" w:eastAsia="zh-CN"/>
        </w:rPr>
        <w:t>14</w:t>
      </w:r>
      <w:r>
        <w:rPr>
          <w:rFonts w:hint="eastAsia" w:ascii="仿宋_GB2312" w:eastAsia="仿宋_GB2312" w:cs="DengXian-Regular"/>
          <w:sz w:val="32"/>
          <w:szCs w:val="32"/>
        </w:rPr>
        <w:t>辆，比上年减少</w:t>
      </w:r>
      <w:r>
        <w:rPr>
          <w:rFonts w:hint="eastAsia" w:ascii="仿宋_GB2312" w:eastAsia="仿宋_GB2312" w:cs="DengXian-Regular"/>
          <w:sz w:val="32"/>
          <w:szCs w:val="32"/>
          <w:lang w:val="en-US" w:eastAsia="zh-CN"/>
        </w:rPr>
        <w:t>6</w:t>
      </w:r>
      <w:r>
        <w:rPr>
          <w:rFonts w:hint="eastAsia" w:ascii="仿宋_GB2312" w:eastAsia="仿宋_GB2312" w:cs="DengXian-Regular"/>
          <w:sz w:val="32"/>
          <w:szCs w:val="32"/>
        </w:rPr>
        <w:t>辆，主要是</w:t>
      </w:r>
      <w:r>
        <w:rPr>
          <w:rFonts w:hint="eastAsia" w:ascii="仿宋_GB2312" w:hAnsi="Arial" w:eastAsia="仿宋_GB2312" w:cs="仿宋_GB2312"/>
          <w:color w:val="333333"/>
          <w:sz w:val="32"/>
          <w:szCs w:val="32"/>
          <w:shd w:val="clear" w:color="auto" w:fill="FFFFFF"/>
        </w:rPr>
        <w:t>公车改革推行，调拨到文安县监察委公车6辆</w:t>
      </w:r>
      <w:r>
        <w:rPr>
          <w:rFonts w:hint="eastAsia" w:ascii="仿宋_GB2312" w:hAnsi="Arial" w:eastAsia="仿宋_GB2312" w:cs="仿宋_GB2312"/>
          <w:color w:val="333333"/>
          <w:sz w:val="32"/>
          <w:szCs w:val="32"/>
          <w:shd w:val="clear" w:color="auto" w:fill="FFFFFF"/>
          <w:lang w:eastAsia="zh-CN"/>
        </w:rPr>
        <w:t>。</w:t>
      </w:r>
      <w:r>
        <w:rPr>
          <w:rFonts w:hint="eastAsia" w:ascii="仿宋_GB2312" w:hAnsi="Times New Roman" w:eastAsia="仿宋_GB2312" w:cs="DengXian-Regular"/>
          <w:sz w:val="32"/>
          <w:szCs w:val="32"/>
        </w:rPr>
        <w:t>其中</w:t>
      </w:r>
      <w:r>
        <w:rPr>
          <w:rFonts w:hint="eastAsia" w:ascii="仿宋_GB2312" w:eastAsia="仿宋_GB2312" w:cs="DengXian-Regular"/>
          <w:sz w:val="32"/>
          <w:szCs w:val="32"/>
          <w:lang w:eastAsia="zh-CN"/>
        </w:rPr>
        <w:t>：</w:t>
      </w:r>
      <w:r>
        <w:rPr>
          <w:rFonts w:hint="eastAsia" w:ascii="仿宋_GB2312" w:eastAsia="仿宋_GB2312" w:cs="DengXian-Regular"/>
          <w:sz w:val="32"/>
          <w:szCs w:val="32"/>
        </w:rPr>
        <w:t>副部（省）级及以上领导用车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辆，主要领导干部用车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辆，机要通信用车</w:t>
      </w:r>
      <w:r>
        <w:rPr>
          <w:rFonts w:hint="eastAsia" w:ascii="仿宋_GB2312" w:eastAsia="仿宋_GB2312" w:cs="DengXian-Regular"/>
          <w:sz w:val="32"/>
          <w:szCs w:val="32"/>
          <w:lang w:val="en-US" w:eastAsia="zh-CN"/>
        </w:rPr>
        <w:t>1</w:t>
      </w:r>
      <w:r>
        <w:rPr>
          <w:rFonts w:hint="eastAsia" w:ascii="仿宋_GB2312" w:eastAsia="仿宋_GB2312" w:cs="DengXian-Regular"/>
          <w:sz w:val="32"/>
          <w:szCs w:val="32"/>
        </w:rPr>
        <w:t>辆，应急保障用车</w:t>
      </w:r>
      <w:r>
        <w:rPr>
          <w:rFonts w:hint="eastAsia" w:ascii="仿宋_GB2312" w:eastAsia="仿宋_GB2312" w:cs="DengXian-Regular"/>
          <w:sz w:val="32"/>
          <w:szCs w:val="32"/>
          <w:lang w:val="en-US" w:eastAsia="zh-CN"/>
        </w:rPr>
        <w:t>6</w:t>
      </w:r>
      <w:r>
        <w:rPr>
          <w:rFonts w:hint="eastAsia" w:ascii="仿宋_GB2312" w:eastAsia="仿宋_GB2312" w:cs="DengXian-Regular"/>
          <w:sz w:val="32"/>
          <w:szCs w:val="32"/>
        </w:rPr>
        <w:t>辆，执法执勤用车</w:t>
      </w:r>
      <w:r>
        <w:rPr>
          <w:rFonts w:hint="eastAsia" w:ascii="仿宋_GB2312" w:eastAsia="仿宋_GB2312" w:cs="DengXian-Regular"/>
          <w:sz w:val="32"/>
          <w:szCs w:val="32"/>
          <w:lang w:val="en-US" w:eastAsia="zh-CN"/>
        </w:rPr>
        <w:t>7</w:t>
      </w:r>
      <w:r>
        <w:rPr>
          <w:rFonts w:hint="eastAsia" w:ascii="仿宋_GB2312" w:eastAsia="仿宋_GB2312" w:cs="DengXian-Regular"/>
          <w:sz w:val="32"/>
          <w:szCs w:val="32"/>
        </w:rPr>
        <w:t>辆，特种专业技术用车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辆，离退休干部用车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辆，其他用车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w:t>
      </w:r>
      <w:r>
        <w:rPr>
          <w:rFonts w:hint="eastAsia" w:ascii="仿宋_GB2312" w:eastAsia="仿宋_GB2312" w:cs="DengXian-Regular"/>
          <w:sz w:val="32"/>
          <w:szCs w:val="32"/>
          <w:lang w:eastAsia="zh-CN"/>
        </w:rPr>
        <w:t>；</w:t>
      </w:r>
      <w:r>
        <w:rPr>
          <w:rFonts w:hint="eastAsia" w:ascii="仿宋_GB2312" w:hAnsi="Times New Roman" w:eastAsia="仿宋_GB2312" w:cs="DengXian-Regular"/>
          <w:sz w:val="32"/>
          <w:szCs w:val="32"/>
        </w:rPr>
        <w:t>单位价值</w:t>
      </w:r>
      <w:r>
        <w:rPr>
          <w:rFonts w:hint="eastAsia" w:ascii="仿宋_GB2312" w:hAnsi="TimesNewRomanPSMT" w:eastAsia="仿宋_GB2312" w:cs="TimesNewRomanPSMT"/>
          <w:sz w:val="32"/>
          <w:szCs w:val="32"/>
        </w:rPr>
        <w:t>50</w:t>
      </w:r>
      <w:r>
        <w:rPr>
          <w:rFonts w:hint="eastAsia" w:ascii="仿宋_GB2312" w:hAnsi="Times New Roman" w:eastAsia="仿宋_GB2312" w:cs="DengXian-Regular"/>
          <w:sz w:val="32"/>
          <w:szCs w:val="32"/>
        </w:rPr>
        <w:t>万元以上通用设备</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台（套），</w:t>
      </w:r>
      <w:r>
        <w:rPr>
          <w:rFonts w:hint="eastAsia" w:ascii="仿宋_GB2312" w:hAnsi="Times New Roman" w:eastAsia="仿宋_GB2312" w:cs="DengXian-Regular"/>
          <w:sz w:val="32"/>
          <w:szCs w:val="32"/>
          <w:lang w:eastAsia="zh-CN"/>
        </w:rPr>
        <w:t>与上年持平</w:t>
      </w:r>
      <w:r>
        <w:rPr>
          <w:rFonts w:hint="eastAsia" w:ascii="仿宋_GB2312" w:hAnsi="Times New Roman" w:eastAsia="仿宋_GB2312" w:cs="DengXian-Regular"/>
          <w:sz w:val="32"/>
          <w:szCs w:val="32"/>
        </w:rPr>
        <w:t>，</w:t>
      </w:r>
      <w:r>
        <w:rPr>
          <w:rFonts w:hint="eastAsia" w:ascii="仿宋_GB2312" w:eastAsia="仿宋_GB2312" w:cs="DengXian-Regular"/>
          <w:sz w:val="32"/>
          <w:szCs w:val="32"/>
          <w:lang w:eastAsia="zh-CN"/>
        </w:rPr>
        <w:t>主要是我单位未购置</w:t>
      </w:r>
      <w:r>
        <w:rPr>
          <w:rFonts w:hint="eastAsia" w:ascii="仿宋_GB2312" w:hAnsi="Times New Roman" w:eastAsia="仿宋_GB2312" w:cs="DengXian-Regular"/>
          <w:sz w:val="32"/>
          <w:szCs w:val="32"/>
        </w:rPr>
        <w:t>单位价值</w:t>
      </w:r>
      <w:r>
        <w:rPr>
          <w:rFonts w:hint="eastAsia" w:ascii="仿宋_GB2312" w:hAnsi="TimesNewRomanPSMT" w:eastAsia="仿宋_GB2312" w:cs="TimesNewRomanPSMT"/>
          <w:sz w:val="32"/>
          <w:szCs w:val="32"/>
        </w:rPr>
        <w:t>50</w:t>
      </w:r>
      <w:r>
        <w:rPr>
          <w:rFonts w:hint="eastAsia" w:ascii="仿宋_GB2312" w:hAnsi="Times New Roman" w:eastAsia="仿宋_GB2312" w:cs="DengXian-Regular"/>
          <w:sz w:val="32"/>
          <w:szCs w:val="32"/>
        </w:rPr>
        <w:t>万元以上通用设备</w:t>
      </w:r>
      <w:r>
        <w:rPr>
          <w:rFonts w:hint="eastAsia" w:ascii="仿宋_GB2312" w:eastAsia="仿宋_GB2312" w:cs="DengXian-Regular"/>
          <w:sz w:val="32"/>
          <w:szCs w:val="32"/>
          <w:lang w:eastAsia="zh-CN"/>
        </w:rPr>
        <w:t>，</w:t>
      </w:r>
      <w:r>
        <w:rPr>
          <w:rFonts w:hint="eastAsia" w:ascii="仿宋_GB2312" w:hAnsi="Times New Roman" w:eastAsia="仿宋_GB2312" w:cs="DengXian-Regular"/>
          <w:sz w:val="32"/>
          <w:szCs w:val="32"/>
        </w:rPr>
        <w:t>单位价值</w:t>
      </w:r>
      <w:r>
        <w:rPr>
          <w:rFonts w:hint="eastAsia" w:ascii="仿宋_GB2312" w:hAnsi="TimesNewRomanPSMT" w:eastAsia="仿宋_GB2312" w:cs="TimesNewRomanPSMT"/>
          <w:sz w:val="32"/>
          <w:szCs w:val="32"/>
        </w:rPr>
        <w:t>100</w:t>
      </w:r>
      <w:r>
        <w:rPr>
          <w:rFonts w:hint="eastAsia" w:ascii="仿宋_GB2312" w:hAnsi="Times New Roman" w:eastAsia="仿宋_GB2312" w:cs="DengXian-Regular"/>
          <w:sz w:val="32"/>
          <w:szCs w:val="32"/>
        </w:rPr>
        <w:t>万元以上专用设备</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台（套）</w:t>
      </w:r>
      <w:r>
        <w:rPr>
          <w:rFonts w:hint="eastAsia" w:ascii="仿宋_GB2312" w:hAnsi="Times New Roman" w:eastAsia="仿宋_GB2312" w:cs="DengXian-Regular"/>
          <w:sz w:val="32"/>
          <w:szCs w:val="32"/>
          <w:lang w:eastAsia="zh-CN"/>
        </w:rPr>
        <w:t>，与</w:t>
      </w:r>
      <w:r>
        <w:rPr>
          <w:rFonts w:hint="eastAsia" w:ascii="仿宋_GB2312" w:hAnsi="Times New Roman" w:eastAsia="仿宋_GB2312" w:cs="DengXian-Regular"/>
          <w:sz w:val="32"/>
          <w:szCs w:val="32"/>
        </w:rPr>
        <w:t>上年</w:t>
      </w:r>
      <w:r>
        <w:rPr>
          <w:rFonts w:hint="eastAsia" w:ascii="仿宋_GB2312" w:hAnsi="Times New Roman" w:eastAsia="仿宋_GB2312" w:cs="DengXian-Regular"/>
          <w:sz w:val="32"/>
          <w:szCs w:val="32"/>
          <w:lang w:eastAsia="zh-CN"/>
        </w:rPr>
        <w:t>持平</w:t>
      </w:r>
      <w:r>
        <w:rPr>
          <w:rFonts w:hint="eastAsia" w:ascii="仿宋_GB2312" w:eastAsia="仿宋_GB2312" w:cs="DengXian-Regular"/>
          <w:sz w:val="32"/>
          <w:szCs w:val="32"/>
          <w:lang w:eastAsia="zh-CN"/>
        </w:rPr>
        <w:t>，主要是我单位未购置</w:t>
      </w:r>
      <w:r>
        <w:rPr>
          <w:rFonts w:hint="eastAsia" w:ascii="仿宋_GB2312" w:hAnsi="Times New Roman" w:eastAsia="仿宋_GB2312" w:cs="DengXian-Regular"/>
          <w:sz w:val="32"/>
          <w:szCs w:val="32"/>
        </w:rPr>
        <w:t>单位价值</w:t>
      </w:r>
      <w:r>
        <w:rPr>
          <w:rFonts w:hint="eastAsia" w:ascii="仿宋_GB2312" w:hAnsi="TimesNewRomanPSMT" w:eastAsia="仿宋_GB2312" w:cs="TimesNewRomanPSMT"/>
          <w:sz w:val="32"/>
          <w:szCs w:val="32"/>
          <w:lang w:val="en-US" w:eastAsia="zh-CN"/>
        </w:rPr>
        <w:t>100</w:t>
      </w:r>
      <w:r>
        <w:rPr>
          <w:rFonts w:hint="eastAsia" w:ascii="仿宋_GB2312" w:hAnsi="Times New Roman" w:eastAsia="仿宋_GB2312" w:cs="DengXian-Regular"/>
          <w:sz w:val="32"/>
          <w:szCs w:val="32"/>
        </w:rPr>
        <w:t>万元以上通用设备</w:t>
      </w:r>
      <w:r>
        <w:rPr>
          <w:rFonts w:hint="eastAsia" w:ascii="仿宋_GB2312" w:hAnsi="Arial" w:eastAsia="仿宋_GB2312" w:cs="仿宋_GB2312"/>
          <w:color w:val="333333"/>
          <w:kern w:val="0"/>
          <w:sz w:val="32"/>
          <w:szCs w:val="32"/>
          <w:shd w:val="clear" w:color="auto" w:fill="FFFFFF"/>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（四）其他需要说明的情况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1、本部门2018年度政府性基金预算财政拨款</w:t>
      </w:r>
      <w:r>
        <w:rPr>
          <w:rFonts w:hint="eastAsia" w:ascii="仿宋_GB2312" w:eastAsia="仿宋_GB2312" w:cs="DengXian-Regular"/>
          <w:sz w:val="32"/>
          <w:szCs w:val="32"/>
          <w:lang w:eastAsia="zh-CN"/>
        </w:rPr>
        <w:t>、国有资本经营预算财政拨款</w:t>
      </w:r>
      <w:r>
        <w:rPr>
          <w:rFonts w:hint="eastAsia" w:ascii="仿宋_GB2312" w:eastAsia="仿宋_GB2312" w:cs="DengXian-Regular"/>
          <w:sz w:val="32"/>
          <w:szCs w:val="32"/>
        </w:rPr>
        <w:t>无收支及结转结余情况，故政府性基金预算财政拨款收入支出决算表</w:t>
      </w:r>
      <w:r>
        <w:rPr>
          <w:rFonts w:hint="eastAsia" w:ascii="仿宋_GB2312" w:eastAsia="仿宋_GB2312" w:cs="DengXian-Regular"/>
          <w:sz w:val="32"/>
          <w:szCs w:val="32"/>
          <w:lang w:eastAsia="zh-CN"/>
        </w:rPr>
        <w:t>、国有资本经营预算财政拨款支出决算表</w:t>
      </w:r>
      <w:r>
        <w:rPr>
          <w:rFonts w:hint="eastAsia" w:ascii="仿宋_GB2312" w:eastAsia="仿宋_GB2312" w:cs="DengXian-Regular"/>
          <w:sz w:val="32"/>
          <w:szCs w:val="32"/>
        </w:rPr>
        <w:t>以空表列示。</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2、由于决算公开表格中金额数值应当保留两位小数，公开数据为四舍五入计算结果，个别数据合计项与分项之和存在小数点后差额，特此说明。</w:t>
      </w:r>
    </w:p>
    <w:p>
      <w:pPr>
        <w:widowControl/>
        <w:spacing w:after="0" w:line="580" w:lineRule="exact"/>
        <w:ind w:firstLine="883" w:firstLineChars="200"/>
        <w:jc w:val="left"/>
        <w:rPr>
          <w:rFonts w:cs="MS-UIGothic,Bold" w:asciiTheme="majorEastAsia" w:hAnsiTheme="majorEastAsia" w:eastAsiaTheme="majorEastAsia"/>
          <w:b/>
          <w:bCs/>
          <w:kern w:val="0"/>
          <w:sz w:val="44"/>
          <w:szCs w:val="44"/>
        </w:rPr>
        <w:sectPr>
          <w:pgSz w:w="11906" w:h="16838"/>
          <w:pgMar w:top="2098" w:right="1474" w:bottom="1984" w:left="1588" w:header="851" w:footer="992" w:gutter="0"/>
          <w:cols w:space="0" w:num="1"/>
          <w:docGrid w:type="lines" w:linePitch="312" w:charSpace="0"/>
        </w:sectPr>
      </w:pPr>
    </w:p>
    <w:p>
      <w:pPr>
        <w:widowControl/>
        <w:spacing w:after="0" w:line="240" w:lineRule="auto"/>
        <w:jc w:val="left"/>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r>
        <w:rPr>
          <w:rFonts w:hint="eastAsia" w:hAnsi="宋体" w:asciiTheme="minorEastAsia" w:eastAsiaTheme="minorEastAsia"/>
          <w:color w:val="000000" w:themeColor="text1"/>
          <w:sz w:val="96"/>
          <w:szCs w:val="96"/>
        </w:rPr>
        <w:t>第四部分</w:t>
      </w:r>
    </w:p>
    <w:p>
      <w:pPr>
        <w:widowControl/>
        <w:spacing w:line="1200" w:lineRule="exact"/>
        <w:jc w:val="center"/>
        <w:rPr>
          <w:color w:val="000000" w:themeColor="text1"/>
          <w:sz w:val="96"/>
          <w:szCs w:val="96"/>
        </w:rPr>
      </w:pPr>
      <w:r>
        <w:rPr>
          <w:rFonts w:hint="eastAsia" w:hAnsi="宋体" w:asciiTheme="minorEastAsia" w:eastAsiaTheme="minorEastAsia"/>
          <w:color w:val="000000" w:themeColor="text1"/>
          <w:sz w:val="96"/>
          <w:szCs w:val="96"/>
        </w:rPr>
        <w:t>名词解释</w:t>
      </w:r>
    </w:p>
    <w:p>
      <w:pPr>
        <w:rPr>
          <w:rFonts w:ascii="宋体" w:hAnsi="宋体" w:cs="ArialUnicodeMS"/>
          <w:color w:val="000000"/>
          <w:kern w:val="0"/>
        </w:rPr>
        <w:sectPr>
          <w:pgSz w:w="11906" w:h="16838"/>
          <w:pgMar w:top="2098" w:right="1474" w:bottom="1984" w:left="1588" w:header="851" w:footer="992" w:gutter="0"/>
          <w:cols w:space="0" w:num="1"/>
          <w:docGrid w:type="lines" w:linePitch="312" w:charSpace="0"/>
        </w:sectPr>
      </w:pP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（一）财政拨款收入：</w:t>
      </w:r>
      <w:r>
        <w:rPr>
          <w:rFonts w:hint="eastAsia" w:ascii="仿宋_GB2312" w:eastAsia="仿宋_GB2312" w:hAnsiTheme="majorEastAsia"/>
          <w:color w:val="000000"/>
          <w:kern w:val="0"/>
          <w:sz w:val="32"/>
          <w:szCs w:val="32"/>
        </w:rPr>
        <w:t>本年度从本级财政部门取得的财政拨款，包括一般公共预算财政拨款和政府性基金预算财政拨款。</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（二）事业收入：</w:t>
      </w:r>
      <w:r>
        <w:rPr>
          <w:rFonts w:hint="eastAsia" w:ascii="仿宋_GB2312" w:eastAsia="仿宋_GB2312" w:hAnsiTheme="majorEastAsia"/>
          <w:color w:val="000000"/>
          <w:kern w:val="0"/>
          <w:sz w:val="32"/>
          <w:szCs w:val="32"/>
        </w:rPr>
        <w:t>指事业单位开展专业业务活动及辅助活动所取得的收入。</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（三）其他收入：</w:t>
      </w:r>
      <w:r>
        <w:rPr>
          <w:rFonts w:hint="eastAsia" w:ascii="仿宋_GB2312" w:eastAsia="仿宋_GB2312" w:hAnsiTheme="majorEastAsia"/>
          <w:color w:val="000000"/>
          <w:kern w:val="0"/>
          <w:sz w:val="32"/>
          <w:szCs w:val="32"/>
        </w:rPr>
        <w:t>指除上述“财政拨款收入”“事业收入”“经营收入”等以外的收入。</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（四）用事业基金弥补收支差额：</w:t>
      </w:r>
      <w:r>
        <w:rPr>
          <w:rFonts w:hint="eastAsia" w:ascii="仿宋_GB2312" w:eastAsia="仿宋_GB2312" w:hAnsiTheme="major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（五）年初结转和结余：</w:t>
      </w:r>
      <w:r>
        <w:rPr>
          <w:rFonts w:hint="eastAsia" w:ascii="仿宋_GB2312" w:eastAsia="仿宋_GB2312" w:hAnsiTheme="majorEastAsia"/>
          <w:color w:val="000000"/>
          <w:kern w:val="0"/>
          <w:sz w:val="32"/>
          <w:szCs w:val="32"/>
        </w:rPr>
        <w:t>指以前年度尚未完成、结转到本年仍按原规定用途继续使用的资金，或项目已完成等产生的结余资金。</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（六）结余分配：</w:t>
      </w:r>
      <w:r>
        <w:rPr>
          <w:rFonts w:hint="eastAsia" w:ascii="仿宋_GB2312" w:eastAsia="仿宋_GB2312" w:hAnsiTheme="majorEastAsia"/>
          <w:color w:val="000000"/>
          <w:kern w:val="0"/>
          <w:sz w:val="32"/>
          <w:szCs w:val="32"/>
        </w:rPr>
        <w:t>指事业单位按照事业单位会计制度的规定从非财政补助结余中分配的事业基金和职工福利基金等。</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（七）年末结转和结余：</w:t>
      </w:r>
      <w:r>
        <w:rPr>
          <w:rFonts w:hint="eastAsia" w:ascii="仿宋_GB2312" w:eastAsia="仿宋_GB2312" w:hAnsiTheme="majorEastAsia"/>
          <w:color w:val="000000"/>
          <w:kern w:val="0"/>
          <w:sz w:val="32"/>
          <w:szCs w:val="32"/>
        </w:rPr>
        <w:t>指单位按有关规定结转到下年或以后年度继续使用的资金，或项目已完成等产生的结余资金。</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（八）基本支出：</w:t>
      </w:r>
      <w:r>
        <w:rPr>
          <w:rFonts w:hint="eastAsia" w:ascii="仿宋_GB2312" w:eastAsia="仿宋_GB2312" w:hAnsiTheme="majorEastAsia"/>
          <w:color w:val="000000"/>
          <w:kern w:val="0"/>
          <w:sz w:val="32"/>
          <w:szCs w:val="32"/>
        </w:rPr>
        <w:t>填列单位为保障机构正常运转、完成日常工作任务而发生的各项支出。</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（九）项目支出：</w:t>
      </w:r>
      <w:r>
        <w:rPr>
          <w:rFonts w:hint="eastAsia" w:ascii="仿宋_GB2312" w:eastAsia="仿宋_GB2312" w:hAnsiTheme="majorEastAsia"/>
          <w:color w:val="000000"/>
          <w:kern w:val="0"/>
          <w:sz w:val="32"/>
          <w:szCs w:val="32"/>
        </w:rPr>
        <w:t>填列单位为完成特定的行政工作任务或事业发展目标，在基本支出之外发生的各项支出</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（十）资本性支出（基本建设）：</w:t>
      </w:r>
      <w:r>
        <w:rPr>
          <w:rFonts w:hint="eastAsia" w:ascii="仿宋_GB2312" w:eastAsia="仿宋_GB2312" w:hAnsiTheme="majorEastAsia"/>
          <w:color w:val="000000"/>
          <w:kern w:val="0"/>
          <w:sz w:val="32"/>
          <w:szCs w:val="32"/>
        </w:rPr>
        <w:t>填列切块由发展改革部门安排的基本建设支出，对企业补助支出不在此科目反映。</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（十一）资本性支出：</w:t>
      </w:r>
      <w:r>
        <w:rPr>
          <w:rFonts w:hint="eastAsia" w:ascii="仿宋_GB2312" w:eastAsia="仿宋_GB2312" w:hAnsiTheme="majorEastAsia"/>
          <w:color w:val="000000"/>
          <w:kern w:val="0"/>
          <w:sz w:val="32"/>
          <w:szCs w:val="32"/>
        </w:rPr>
        <w:t>填列各单位安排的资本性支出。切块由发展改革部门安排的基本建设支出不在此科目反映。</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（十二）“三公”经费：</w:t>
      </w:r>
      <w:r>
        <w:rPr>
          <w:rFonts w:hint="eastAsia" w:ascii="仿宋_GB2312" w:eastAsia="仿宋_GB2312" w:hAnsiTheme="major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（十三）其他交通费用：</w:t>
      </w:r>
      <w:r>
        <w:rPr>
          <w:rFonts w:hint="eastAsia" w:ascii="仿宋_GB2312" w:eastAsia="仿宋_GB2312" w:hAnsiTheme="majorEastAsia"/>
          <w:color w:val="000000"/>
          <w:kern w:val="0"/>
          <w:sz w:val="32"/>
          <w:szCs w:val="32"/>
        </w:rPr>
        <w:t>填列单位除公务用车运行维护费以外的其他交通费用。如公务交通补贴、租车费用、出租车费用、飞机、船舶等的燃料费、维修费、保险费等。</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（十四）公务用车购置：</w:t>
      </w:r>
      <w:r>
        <w:rPr>
          <w:rFonts w:hint="eastAsia" w:ascii="仿宋_GB2312" w:eastAsia="仿宋_GB2312" w:hAnsiTheme="majorEastAsia"/>
          <w:color w:val="000000"/>
          <w:kern w:val="0"/>
          <w:sz w:val="32"/>
          <w:szCs w:val="32"/>
        </w:rPr>
        <w:t>填列单位公务用车购置支出（含车辆购置税、牌照费）。</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（十五）其他交通工具购置：</w:t>
      </w:r>
      <w:r>
        <w:rPr>
          <w:rFonts w:hint="eastAsia" w:ascii="仿宋_GB2312" w:eastAsia="仿宋_GB2312" w:hAnsiTheme="majorEastAsia"/>
          <w:color w:val="000000"/>
          <w:kern w:val="0"/>
          <w:sz w:val="32"/>
          <w:szCs w:val="32"/>
        </w:rPr>
        <w:t>填列单位除公务用车外的其他各类交通工具（如船舶、飞机）购置支出（含车辆购置税、牌照费）。</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（十六）机关运行经费：</w:t>
      </w:r>
      <w:r>
        <w:rPr>
          <w:rFonts w:hint="eastAsia" w:ascii="仿宋_GB2312" w:eastAsia="仿宋_GB2312" w:hAnsiTheme="major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after="0" w:line="560" w:lineRule="exact"/>
        <w:ind w:firstLine="643" w:firstLineChars="200"/>
        <w:rPr>
          <w:rFonts w:ascii="仿宋_GB2312" w:eastAsia="仿宋_GB2312" w:cs="ArialUnicodeMS" w:hAnsiTheme="minorHAnsi"/>
          <w:kern w:val="0"/>
          <w:sz w:val="32"/>
          <w:szCs w:val="32"/>
        </w:rPr>
      </w:pPr>
      <w:r>
        <w:rPr>
          <w:rFonts w:hint="eastAsia" w:ascii="仿宋_GB2312" w:eastAsia="仿宋_GB2312" w:hAnsiTheme="majorEastAsia"/>
          <w:b/>
          <w:bCs/>
          <w:color w:val="000000"/>
          <w:kern w:val="0"/>
          <w:sz w:val="32"/>
          <w:szCs w:val="32"/>
        </w:rPr>
        <w:t>（十七）经费形式:</w:t>
      </w:r>
      <w:r>
        <w:rPr>
          <w:rFonts w:hint="eastAsia" w:ascii="仿宋_GB2312" w:eastAsia="仿宋_GB2312" w:hAnsiTheme="majorEastAsia"/>
          <w:color w:val="000000"/>
          <w:kern w:val="0"/>
          <w:sz w:val="32"/>
          <w:szCs w:val="32"/>
        </w:rPr>
        <w:t>按照经费来源，</w:t>
      </w:r>
      <w:r>
        <w:rPr>
          <w:rFonts w:hint="eastAsia" w:ascii="仿宋_GB2312" w:eastAsia="仿宋_GB2312" w:cs="ArialUnicodeMS" w:hAnsiTheme="minorHAnsi"/>
          <w:kern w:val="0"/>
          <w:sz w:val="32"/>
          <w:szCs w:val="32"/>
        </w:rPr>
        <w:t>可分为财政拨款、财政性资金基本保证、财政性资金定额或定项补助、财政性资金零补助四类。</w:t>
      </w:r>
    </w:p>
    <w:p>
      <w:pPr>
        <w:widowControl/>
        <w:spacing w:after="0" w:line="560" w:lineRule="exact"/>
        <w:rPr>
          <w:rFonts w:ascii="仿宋_GB2312" w:eastAsia="仿宋_GB2312" w:cs="ArialUnicodeMS" w:hAnsiTheme="minorHAnsi"/>
          <w:kern w:val="0"/>
          <w:sz w:val="32"/>
          <w:szCs w:val="32"/>
        </w:rPr>
      </w:pPr>
      <w:bookmarkStart w:id="0" w:name="_GoBack"/>
      <w:bookmarkEnd w:id="0"/>
    </w:p>
    <w:sectPr>
      <w:pgSz w:w="11906" w:h="16838"/>
      <w:pgMar w:top="2098" w:right="1474" w:bottom="1985" w:left="1588"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1D1D8893-C278-4466-ACFA-805E51BE231D}"/>
  </w:font>
  <w:font w:name="黑体">
    <w:panose1 w:val="02010609060101010101"/>
    <w:charset w:val="86"/>
    <w:family w:val="auto"/>
    <w:pitch w:val="default"/>
    <w:sig w:usb0="800002BF" w:usb1="38CF7CFA" w:usb2="00000016" w:usb3="00000000" w:csb0="00040001" w:csb1="00000000"/>
    <w:embedRegular r:id="rId2" w:fontKey="{99F0D5AF-4B05-421B-A2BD-A042D64D67EB}"/>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3" w:fontKey="{0F6871FC-5159-48BE-B093-F62576A6EDCF}"/>
  </w:font>
  <w:font w:name="Cambria">
    <w:panose1 w:val="02040503050406030204"/>
    <w:charset w:val="00"/>
    <w:family w:val="roman"/>
    <w:pitch w:val="default"/>
    <w:sig w:usb0="E00002FF" w:usb1="400004FF" w:usb2="00000000" w:usb3="00000000" w:csb0="2000019F" w:csb1="00000000"/>
    <w:embedRegular r:id="rId4" w:fontKey="{EBE0F3A4-D27F-4D23-B7F4-9B3BCB01E7D8}"/>
  </w:font>
  <w:font w:name="仿宋_GB2312">
    <w:altName w:val="仿宋"/>
    <w:panose1 w:val="00000000000000000000"/>
    <w:charset w:val="86"/>
    <w:family w:val="modern"/>
    <w:pitch w:val="default"/>
    <w:sig w:usb0="00000000" w:usb1="00000000" w:usb2="00000010" w:usb3="00000000" w:csb0="00040000" w:csb1="00000000"/>
    <w:embedRegular r:id="rId5" w:fontKey="{3F941097-AE45-4761-B85B-C9091A4AB050}"/>
  </w:font>
  <w:font w:name="仿宋">
    <w:panose1 w:val="02010609060101010101"/>
    <w:charset w:val="86"/>
    <w:family w:val="auto"/>
    <w:pitch w:val="default"/>
    <w:sig w:usb0="800002BF" w:usb1="38CF7CFA" w:usb2="00000016" w:usb3="00000000" w:csb0="00040001" w:csb1="00000000"/>
    <w:embedRegular r:id="rId6" w:fontKey="{5C0F1BBE-290C-4482-8A59-4C6308ACA5A9}"/>
  </w:font>
  <w:font w:name="楷体">
    <w:panose1 w:val="02010609060101010101"/>
    <w:charset w:val="86"/>
    <w:family w:val="modern"/>
    <w:pitch w:val="default"/>
    <w:sig w:usb0="800002BF" w:usb1="38CF7CFA" w:usb2="00000016" w:usb3="00000000" w:csb0="00040001" w:csb1="00000000"/>
    <w:embedRegular r:id="rId7" w:fontKey="{9A6B6C83-9BF6-4B7A-871B-4EF3E1BE1E6C}"/>
  </w:font>
  <w:font w:name="ArialUnicodeMS">
    <w:altName w:val="Malgun Gothic"/>
    <w:panose1 w:val="00000000000000000000"/>
    <w:charset w:val="81"/>
    <w:family w:val="auto"/>
    <w:pitch w:val="default"/>
    <w:sig w:usb0="00000000" w:usb1="00000000" w:usb2="00000010" w:usb3="00000000" w:csb0="00080001" w:csb1="00000000"/>
    <w:embedRegular r:id="rId8" w:fontKey="{AF47CDB3-47C1-4E8C-B825-ECF357A26A6B}"/>
  </w:font>
  <w:font w:name="Malgun Gothic">
    <w:panose1 w:val="020B0503020000020004"/>
    <w:charset w:val="81"/>
    <w:family w:val="auto"/>
    <w:pitch w:val="default"/>
    <w:sig w:usb0="900002AF" w:usb1="01D77CFB" w:usb2="00000012" w:usb3="00000000" w:csb0="00080001" w:csb1="00000000"/>
  </w:font>
  <w:font w:name="MS-UIGothic,Bold">
    <w:altName w:val="Malgun Gothic"/>
    <w:panose1 w:val="00000000000000000000"/>
    <w:charset w:val="81"/>
    <w:family w:val="auto"/>
    <w:pitch w:val="default"/>
    <w:sig w:usb0="00000000" w:usb1="00000000" w:usb2="00000010" w:usb3="00000000" w:csb0="00080000" w:csb1="00000000"/>
    <w:embedRegular r:id="rId9" w:fontKey="{11E8BCFA-C54E-4A1C-9C54-CB51060C52F1}"/>
  </w:font>
  <w:font w:name="DengXian-Regular">
    <w:altName w:val="宋体"/>
    <w:panose1 w:val="00000000000000000000"/>
    <w:charset w:val="86"/>
    <w:family w:val="auto"/>
    <w:pitch w:val="default"/>
    <w:sig w:usb0="00000000" w:usb1="00000000" w:usb2="00000010" w:usb3="00000000" w:csb0="00040001" w:csb1="00000000"/>
    <w:embedRegular r:id="rId10" w:fontKey="{C446FFE3-E7F4-4D7C-A081-BA33DF30563B}"/>
  </w:font>
  <w:font w:name="楷体_GB2312">
    <w:altName w:val="楷体"/>
    <w:panose1 w:val="00000000000000000000"/>
    <w:charset w:val="86"/>
    <w:family w:val="modern"/>
    <w:pitch w:val="default"/>
    <w:sig w:usb0="00000000" w:usb1="00000000" w:usb2="00000010" w:usb3="00000000" w:csb0="00040000" w:csb1="00000000"/>
    <w:embedRegular r:id="rId11" w:fontKey="{6EE154AC-F4B6-4238-BBCE-73C5463249CA}"/>
  </w:font>
  <w:font w:name="DengXian-Bold">
    <w:altName w:val="宋体"/>
    <w:panose1 w:val="00000000000000000000"/>
    <w:charset w:val="86"/>
    <w:family w:val="auto"/>
    <w:pitch w:val="default"/>
    <w:sig w:usb0="00000000" w:usb1="00000000" w:usb2="00000010" w:usb3="00000000" w:csb0="00040001" w:csb1="00000000"/>
    <w:embedRegular r:id="rId12" w:fontKey="{907BAFB4-078C-475A-81B7-510BAB004E17}"/>
  </w:font>
  <w:font w:name="TimesNewRomanPSMT">
    <w:altName w:val="Arial"/>
    <w:panose1 w:val="00000000000000000000"/>
    <w:charset w:val="00"/>
    <w:family w:val="swiss"/>
    <w:pitch w:val="default"/>
    <w:sig w:usb0="00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C229AD"/>
    <w:multiLevelType w:val="singleLevel"/>
    <w:tmpl w:val="0EC229AD"/>
    <w:lvl w:ilvl="0" w:tentative="0">
      <w:start w:val="2"/>
      <w:numFmt w:val="chineseCounting"/>
      <w:suff w:val="nothing"/>
      <w:lvlText w:val="（%1）"/>
      <w:lvlJc w:val="left"/>
      <w:rPr>
        <w:rFonts w:hint="eastAsia"/>
      </w:rPr>
    </w:lvl>
  </w:abstractNum>
  <w:abstractNum w:abstractNumId="1">
    <w:nsid w:val="45DB9A87"/>
    <w:multiLevelType w:val="singleLevel"/>
    <w:tmpl w:val="45DB9A87"/>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C1413"/>
    <w:rsid w:val="00020FAF"/>
    <w:rsid w:val="00022474"/>
    <w:rsid w:val="00024E7F"/>
    <w:rsid w:val="000475A0"/>
    <w:rsid w:val="00067693"/>
    <w:rsid w:val="000838C3"/>
    <w:rsid w:val="000B2446"/>
    <w:rsid w:val="000D7C65"/>
    <w:rsid w:val="000E2B3E"/>
    <w:rsid w:val="000E2F81"/>
    <w:rsid w:val="00101F8D"/>
    <w:rsid w:val="00117946"/>
    <w:rsid w:val="00117E2C"/>
    <w:rsid w:val="00146C47"/>
    <w:rsid w:val="00152FB8"/>
    <w:rsid w:val="00176658"/>
    <w:rsid w:val="0018239E"/>
    <w:rsid w:val="001B3410"/>
    <w:rsid w:val="001B7503"/>
    <w:rsid w:val="001C030D"/>
    <w:rsid w:val="001C4A84"/>
    <w:rsid w:val="001E5902"/>
    <w:rsid w:val="00233705"/>
    <w:rsid w:val="00246D99"/>
    <w:rsid w:val="00257266"/>
    <w:rsid w:val="00262306"/>
    <w:rsid w:val="00275CA2"/>
    <w:rsid w:val="002A65A5"/>
    <w:rsid w:val="002B13D7"/>
    <w:rsid w:val="002C04C4"/>
    <w:rsid w:val="002D08B0"/>
    <w:rsid w:val="002D1AE3"/>
    <w:rsid w:val="002F2ECE"/>
    <w:rsid w:val="00341C8F"/>
    <w:rsid w:val="0035463A"/>
    <w:rsid w:val="00391D9D"/>
    <w:rsid w:val="003B6C51"/>
    <w:rsid w:val="003C1413"/>
    <w:rsid w:val="003C549F"/>
    <w:rsid w:val="003D5A16"/>
    <w:rsid w:val="003E7DB3"/>
    <w:rsid w:val="00431175"/>
    <w:rsid w:val="00493686"/>
    <w:rsid w:val="004B6E37"/>
    <w:rsid w:val="004C32BA"/>
    <w:rsid w:val="004C68EF"/>
    <w:rsid w:val="00575922"/>
    <w:rsid w:val="005A3C0D"/>
    <w:rsid w:val="005A6C90"/>
    <w:rsid w:val="005B37E6"/>
    <w:rsid w:val="005E3FB0"/>
    <w:rsid w:val="005F4B66"/>
    <w:rsid w:val="005F5208"/>
    <w:rsid w:val="00615C31"/>
    <w:rsid w:val="00641318"/>
    <w:rsid w:val="0064405D"/>
    <w:rsid w:val="00695557"/>
    <w:rsid w:val="006D4EA7"/>
    <w:rsid w:val="0070012A"/>
    <w:rsid w:val="0070664B"/>
    <w:rsid w:val="007071B8"/>
    <w:rsid w:val="007155C2"/>
    <w:rsid w:val="007414DE"/>
    <w:rsid w:val="00760C0C"/>
    <w:rsid w:val="007905A9"/>
    <w:rsid w:val="007E072B"/>
    <w:rsid w:val="007E5500"/>
    <w:rsid w:val="007F055B"/>
    <w:rsid w:val="00811C2F"/>
    <w:rsid w:val="00833D46"/>
    <w:rsid w:val="00836215"/>
    <w:rsid w:val="00840A97"/>
    <w:rsid w:val="00873292"/>
    <w:rsid w:val="008A640A"/>
    <w:rsid w:val="008C0149"/>
    <w:rsid w:val="008D5DED"/>
    <w:rsid w:val="008E25CA"/>
    <w:rsid w:val="008F34FC"/>
    <w:rsid w:val="00944CD7"/>
    <w:rsid w:val="00961190"/>
    <w:rsid w:val="009831B2"/>
    <w:rsid w:val="009A1ABE"/>
    <w:rsid w:val="009E21A4"/>
    <w:rsid w:val="009F22C6"/>
    <w:rsid w:val="00A07E50"/>
    <w:rsid w:val="00A12C15"/>
    <w:rsid w:val="00A15397"/>
    <w:rsid w:val="00A35CE0"/>
    <w:rsid w:val="00A4462E"/>
    <w:rsid w:val="00A44AA4"/>
    <w:rsid w:val="00A61623"/>
    <w:rsid w:val="00A84687"/>
    <w:rsid w:val="00AA0458"/>
    <w:rsid w:val="00AB0A0E"/>
    <w:rsid w:val="00AD3B6E"/>
    <w:rsid w:val="00AF6D31"/>
    <w:rsid w:val="00B1751F"/>
    <w:rsid w:val="00B50F96"/>
    <w:rsid w:val="00B56722"/>
    <w:rsid w:val="00B67044"/>
    <w:rsid w:val="00B74D39"/>
    <w:rsid w:val="00B827C6"/>
    <w:rsid w:val="00B91DA4"/>
    <w:rsid w:val="00BA7174"/>
    <w:rsid w:val="00C12630"/>
    <w:rsid w:val="00C34562"/>
    <w:rsid w:val="00C3774E"/>
    <w:rsid w:val="00C57456"/>
    <w:rsid w:val="00C65387"/>
    <w:rsid w:val="00C87FAB"/>
    <w:rsid w:val="00C91FF7"/>
    <w:rsid w:val="00C92D15"/>
    <w:rsid w:val="00C94E53"/>
    <w:rsid w:val="00CE3FC3"/>
    <w:rsid w:val="00D0048E"/>
    <w:rsid w:val="00D23E7A"/>
    <w:rsid w:val="00D56D8F"/>
    <w:rsid w:val="00D61063"/>
    <w:rsid w:val="00DB35AF"/>
    <w:rsid w:val="00DD72D7"/>
    <w:rsid w:val="00DF5B88"/>
    <w:rsid w:val="00E0589E"/>
    <w:rsid w:val="00E0697F"/>
    <w:rsid w:val="00E241FA"/>
    <w:rsid w:val="00E2595E"/>
    <w:rsid w:val="00E35374"/>
    <w:rsid w:val="00E50C19"/>
    <w:rsid w:val="00E64655"/>
    <w:rsid w:val="00E73081"/>
    <w:rsid w:val="00E856C9"/>
    <w:rsid w:val="00EA4F68"/>
    <w:rsid w:val="00EB6A8B"/>
    <w:rsid w:val="00ED411D"/>
    <w:rsid w:val="00EF38C6"/>
    <w:rsid w:val="00F679C7"/>
    <w:rsid w:val="00F7711A"/>
    <w:rsid w:val="00F80C72"/>
    <w:rsid w:val="00FA0D58"/>
    <w:rsid w:val="00FA1580"/>
    <w:rsid w:val="00FA56F4"/>
    <w:rsid w:val="00FB4EDA"/>
    <w:rsid w:val="00FD3BD5"/>
    <w:rsid w:val="00FE3DC8"/>
    <w:rsid w:val="04073F84"/>
    <w:rsid w:val="04441DC6"/>
    <w:rsid w:val="0B60750A"/>
    <w:rsid w:val="10637865"/>
    <w:rsid w:val="10686488"/>
    <w:rsid w:val="10DF728A"/>
    <w:rsid w:val="1264200E"/>
    <w:rsid w:val="141C5B77"/>
    <w:rsid w:val="18D8339D"/>
    <w:rsid w:val="1A21388F"/>
    <w:rsid w:val="1A570D2F"/>
    <w:rsid w:val="201E670A"/>
    <w:rsid w:val="24B334DE"/>
    <w:rsid w:val="28FB0B8D"/>
    <w:rsid w:val="2D2B7942"/>
    <w:rsid w:val="2D46481D"/>
    <w:rsid w:val="2E27229B"/>
    <w:rsid w:val="2E733B28"/>
    <w:rsid w:val="31852B5A"/>
    <w:rsid w:val="32D01238"/>
    <w:rsid w:val="354F7A52"/>
    <w:rsid w:val="3DFC59A8"/>
    <w:rsid w:val="3ECF245E"/>
    <w:rsid w:val="3FB96314"/>
    <w:rsid w:val="4130610C"/>
    <w:rsid w:val="44003D63"/>
    <w:rsid w:val="45382AF6"/>
    <w:rsid w:val="53A44FAF"/>
    <w:rsid w:val="594329EC"/>
    <w:rsid w:val="59A342D7"/>
    <w:rsid w:val="5BEE1540"/>
    <w:rsid w:val="5DE61A5D"/>
    <w:rsid w:val="63C04243"/>
    <w:rsid w:val="649C01C7"/>
    <w:rsid w:val="66F63316"/>
    <w:rsid w:val="68EB1514"/>
    <w:rsid w:val="699A3F60"/>
    <w:rsid w:val="72902E62"/>
    <w:rsid w:val="73C61104"/>
    <w:rsid w:val="776452EA"/>
    <w:rsid w:val="77CB0683"/>
    <w:rsid w:val="7DC663B9"/>
    <w:rsid w:val="7FD2103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1"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48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9"/>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1"/>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2"/>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6">
    <w:name w:val="Date"/>
    <w:basedOn w:val="1"/>
    <w:next w:val="1"/>
    <w:link w:val="33"/>
    <w:semiHidden/>
    <w:unhideWhenUsed/>
    <w:qFormat/>
    <w:uiPriority w:val="99"/>
    <w:pPr>
      <w:ind w:left="100" w:leftChars="2500"/>
    </w:pPr>
  </w:style>
  <w:style w:type="paragraph" w:styleId="7">
    <w:name w:val="Balloon Text"/>
    <w:basedOn w:val="1"/>
    <w:link w:val="21"/>
    <w:semiHidden/>
    <w:unhideWhenUsed/>
    <w:qFormat/>
    <w:uiPriority w:val="99"/>
    <w:rPr>
      <w:sz w:val="18"/>
      <w:szCs w:val="18"/>
    </w:rPr>
  </w:style>
  <w:style w:type="paragraph" w:styleId="8">
    <w:name w:val="footer"/>
    <w:basedOn w:val="1"/>
    <w:link w:val="1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9">
    <w:name w:val="header"/>
    <w:basedOn w:val="1"/>
    <w:link w:val="1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0">
    <w:name w:val="Subtitle"/>
    <w:basedOn w:val="1"/>
    <w:next w:val="1"/>
    <w:link w:val="23"/>
    <w:qFormat/>
    <w:uiPriority w:val="11"/>
    <w:pPr>
      <w:widowControl/>
      <w:spacing w:after="200" w:line="276" w:lineRule="auto"/>
      <w:jc w:val="left"/>
    </w:pPr>
    <w:rPr>
      <w:rFonts w:asciiTheme="majorHAnsi" w:hAnsiTheme="majorHAnsi" w:eastAsiaTheme="majorEastAsia" w:cstheme="majorBidi"/>
      <w:i/>
      <w:iCs/>
      <w:color w:val="F0A22E" w:themeColor="accent1"/>
      <w:spacing w:val="15"/>
      <w:kern w:val="0"/>
      <w:sz w:val="24"/>
    </w:rPr>
  </w:style>
  <w:style w:type="paragraph" w:styleId="11">
    <w:name w:val="Normal (Web)"/>
    <w:basedOn w:val="1"/>
    <w:qFormat/>
    <w:uiPriority w:val="99"/>
    <w:rPr>
      <w:sz w:val="24"/>
    </w:rPr>
  </w:style>
  <w:style w:type="paragraph" w:styleId="12">
    <w:name w:val="Title"/>
    <w:basedOn w:val="1"/>
    <w:next w:val="1"/>
    <w:link w:val="22"/>
    <w:qFormat/>
    <w:uiPriority w:val="10"/>
    <w:pPr>
      <w:widowControl/>
      <w:pBdr>
        <w:bottom w:val="single" w:color="F0A22E" w:themeColor="accent1" w:sz="8" w:space="4"/>
      </w:pBdr>
      <w:spacing w:after="300"/>
      <w:contextualSpacing/>
      <w:jc w:val="left"/>
    </w:pPr>
    <w:rPr>
      <w:rFonts w:asciiTheme="majorHAnsi" w:hAnsiTheme="majorHAnsi" w:eastAsiaTheme="majorEastAsia" w:cstheme="majorBidi"/>
      <w:color w:val="3A2C23" w:themeColor="text2" w:themeShade="BF"/>
      <w:spacing w:val="5"/>
      <w:kern w:val="28"/>
      <w:sz w:val="52"/>
      <w:szCs w:val="52"/>
    </w:rPr>
  </w:style>
  <w:style w:type="table" w:styleId="14">
    <w:name w:val="Table Grid"/>
    <w:basedOn w:val="13"/>
    <w:qFormat/>
    <w:uiPriority w:val="1"/>
    <w:rPr>
      <w:sz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6">
    <w:name w:val="Strong"/>
    <w:qFormat/>
    <w:uiPriority w:val="0"/>
    <w:rPr>
      <w:b/>
    </w:rPr>
  </w:style>
  <w:style w:type="character" w:customStyle="1" w:styleId="17">
    <w:name w:val="页眉 字符"/>
    <w:basedOn w:val="15"/>
    <w:link w:val="9"/>
    <w:qFormat/>
    <w:uiPriority w:val="99"/>
    <w:rPr>
      <w:sz w:val="18"/>
      <w:szCs w:val="18"/>
    </w:rPr>
  </w:style>
  <w:style w:type="character" w:customStyle="1" w:styleId="18">
    <w:name w:val="页脚 字符"/>
    <w:basedOn w:val="15"/>
    <w:link w:val="8"/>
    <w:qFormat/>
    <w:uiPriority w:val="99"/>
    <w:rPr>
      <w:sz w:val="18"/>
      <w:szCs w:val="18"/>
    </w:rPr>
  </w:style>
  <w:style w:type="paragraph" w:styleId="19">
    <w:name w:val="No Spacing"/>
    <w:link w:val="20"/>
    <w:qFormat/>
    <w:uiPriority w:val="1"/>
    <w:pPr>
      <w:spacing w:after="160" w:line="480" w:lineRule="auto"/>
    </w:pPr>
    <w:rPr>
      <w:rFonts w:asciiTheme="minorHAnsi" w:hAnsiTheme="minorHAnsi" w:eastAsiaTheme="minorEastAsia" w:cstheme="minorBidi"/>
      <w:sz w:val="22"/>
      <w:szCs w:val="22"/>
      <w:lang w:val="en-US" w:eastAsia="zh-CN" w:bidi="ar-SA"/>
    </w:rPr>
  </w:style>
  <w:style w:type="character" w:customStyle="1" w:styleId="20">
    <w:name w:val="无间隔 字符"/>
    <w:basedOn w:val="15"/>
    <w:link w:val="19"/>
    <w:qFormat/>
    <w:uiPriority w:val="1"/>
    <w:rPr>
      <w:kern w:val="0"/>
      <w:sz w:val="22"/>
    </w:rPr>
  </w:style>
  <w:style w:type="character" w:customStyle="1" w:styleId="21">
    <w:name w:val="批注框文本 字符"/>
    <w:basedOn w:val="15"/>
    <w:link w:val="7"/>
    <w:semiHidden/>
    <w:qFormat/>
    <w:uiPriority w:val="99"/>
    <w:rPr>
      <w:rFonts w:ascii="Times New Roman" w:hAnsi="Times New Roman" w:eastAsia="宋体" w:cs="Times New Roman"/>
      <w:sz w:val="18"/>
      <w:szCs w:val="18"/>
    </w:rPr>
  </w:style>
  <w:style w:type="character" w:customStyle="1" w:styleId="22">
    <w:name w:val="标题 字符"/>
    <w:basedOn w:val="15"/>
    <w:link w:val="12"/>
    <w:qFormat/>
    <w:uiPriority w:val="10"/>
    <w:rPr>
      <w:rFonts w:asciiTheme="majorHAnsi" w:hAnsiTheme="majorHAnsi" w:eastAsiaTheme="majorEastAsia" w:cstheme="majorBidi"/>
      <w:color w:val="3A2C23" w:themeColor="text2" w:themeShade="BF"/>
      <w:spacing w:val="5"/>
      <w:kern w:val="28"/>
      <w:sz w:val="52"/>
      <w:szCs w:val="52"/>
    </w:rPr>
  </w:style>
  <w:style w:type="character" w:customStyle="1" w:styleId="23">
    <w:name w:val="副标题 字符"/>
    <w:basedOn w:val="15"/>
    <w:link w:val="10"/>
    <w:qFormat/>
    <w:uiPriority w:val="11"/>
    <w:rPr>
      <w:rFonts w:asciiTheme="majorHAnsi" w:hAnsiTheme="majorHAnsi" w:eastAsiaTheme="majorEastAsia" w:cstheme="majorBidi"/>
      <w:i/>
      <w:iCs/>
      <w:color w:val="F0A22E" w:themeColor="accent1"/>
      <w:spacing w:val="15"/>
      <w:kern w:val="0"/>
      <w:sz w:val="24"/>
      <w:szCs w:val="24"/>
    </w:rPr>
  </w:style>
  <w:style w:type="character" w:customStyle="1" w:styleId="24">
    <w:name w:val="Style1"/>
    <w:basedOn w:val="15"/>
    <w:qFormat/>
    <w:uiPriority w:val="1"/>
    <w:rPr>
      <w:rFonts w:asciiTheme="minorHAnsi" w:hAnsiTheme="minorEastAsia" w:eastAsiaTheme="minorEastAsia" w:cstheme="minorBidi"/>
      <w:sz w:val="22"/>
      <w:szCs w:val="22"/>
      <w:lang w:eastAsia="zh-CN"/>
    </w:rPr>
  </w:style>
  <w:style w:type="character" w:customStyle="1" w:styleId="25">
    <w:name w:val="Style2"/>
    <w:basedOn w:val="15"/>
    <w:qFormat/>
    <w:uiPriority w:val="1"/>
    <w:rPr>
      <w:rFonts w:asciiTheme="minorHAnsi" w:hAnsiTheme="minorEastAsia" w:eastAsiaTheme="minorEastAsia" w:cstheme="minorBidi"/>
      <w:sz w:val="22"/>
      <w:szCs w:val="22"/>
      <w:lang w:eastAsia="zh-CN"/>
    </w:rPr>
  </w:style>
  <w:style w:type="character" w:customStyle="1" w:styleId="26">
    <w:name w:val="Style3"/>
    <w:basedOn w:val="15"/>
    <w:qFormat/>
    <w:uiPriority w:val="1"/>
    <w:rPr>
      <w:rFonts w:asciiTheme="minorHAnsi" w:hAnsiTheme="minorEastAsia" w:eastAsiaTheme="minorEastAsia" w:cstheme="minorBidi"/>
      <w:szCs w:val="22"/>
      <w:lang w:eastAsia="zh-CN"/>
    </w:rPr>
  </w:style>
  <w:style w:type="character" w:customStyle="1" w:styleId="27">
    <w:name w:val="Style4"/>
    <w:basedOn w:val="15"/>
    <w:qFormat/>
    <w:uiPriority w:val="1"/>
    <w:rPr>
      <w:rFonts w:asciiTheme="minorHAnsi" w:hAnsiTheme="minorEastAsia" w:eastAsiaTheme="minorEastAsia" w:cstheme="minorBidi"/>
      <w:szCs w:val="22"/>
      <w:lang w:eastAsia="zh-CN"/>
    </w:rPr>
  </w:style>
  <w:style w:type="character" w:customStyle="1" w:styleId="28">
    <w:name w:val="Style5"/>
    <w:basedOn w:val="15"/>
    <w:qFormat/>
    <w:uiPriority w:val="1"/>
    <w:rPr>
      <w:rFonts w:asciiTheme="minorHAnsi" w:hAnsiTheme="minorEastAsia" w:eastAsiaTheme="minorEastAsia" w:cstheme="minorBidi"/>
      <w:sz w:val="22"/>
      <w:szCs w:val="22"/>
      <w:lang w:eastAsia="zh-CN"/>
    </w:rPr>
  </w:style>
  <w:style w:type="character" w:customStyle="1" w:styleId="29">
    <w:name w:val="标题 1 字符"/>
    <w:basedOn w:val="15"/>
    <w:link w:val="2"/>
    <w:qFormat/>
    <w:uiPriority w:val="9"/>
    <w:rPr>
      <w:rFonts w:ascii="Times New Roman" w:hAnsi="Times New Roman" w:eastAsia="宋体" w:cs="Times New Roman"/>
      <w:b/>
      <w:bCs/>
      <w:kern w:val="44"/>
      <w:sz w:val="44"/>
      <w:szCs w:val="44"/>
    </w:rPr>
  </w:style>
  <w:style w:type="character" w:customStyle="1" w:styleId="30">
    <w:name w:val="标题 2 字符"/>
    <w:basedOn w:val="15"/>
    <w:link w:val="3"/>
    <w:qFormat/>
    <w:uiPriority w:val="9"/>
    <w:rPr>
      <w:rFonts w:asciiTheme="majorHAnsi" w:hAnsiTheme="majorHAnsi" w:eastAsiaTheme="majorEastAsia" w:cstheme="majorBidi"/>
      <w:b/>
      <w:bCs/>
      <w:sz w:val="32"/>
      <w:szCs w:val="32"/>
    </w:rPr>
  </w:style>
  <w:style w:type="character" w:customStyle="1" w:styleId="31">
    <w:name w:val="标题 3 字符"/>
    <w:basedOn w:val="15"/>
    <w:link w:val="4"/>
    <w:qFormat/>
    <w:uiPriority w:val="9"/>
    <w:rPr>
      <w:rFonts w:ascii="Times New Roman" w:hAnsi="Times New Roman" w:eastAsia="宋体" w:cs="Times New Roman"/>
      <w:b/>
      <w:bCs/>
      <w:sz w:val="32"/>
      <w:szCs w:val="32"/>
    </w:rPr>
  </w:style>
  <w:style w:type="character" w:customStyle="1" w:styleId="32">
    <w:name w:val="标题 4 字符"/>
    <w:basedOn w:val="15"/>
    <w:link w:val="5"/>
    <w:qFormat/>
    <w:uiPriority w:val="9"/>
    <w:rPr>
      <w:rFonts w:asciiTheme="majorHAnsi" w:hAnsiTheme="majorHAnsi" w:eastAsiaTheme="majorEastAsia" w:cstheme="majorBidi"/>
      <w:b/>
      <w:bCs/>
      <w:sz w:val="28"/>
      <w:szCs w:val="28"/>
    </w:rPr>
  </w:style>
  <w:style w:type="character" w:customStyle="1" w:styleId="33">
    <w:name w:val="日期 字符"/>
    <w:basedOn w:val="15"/>
    <w:link w:val="6"/>
    <w:semiHidden/>
    <w:qFormat/>
    <w:uiPriority w:val="99"/>
    <w:rPr>
      <w:rFonts w:ascii="Times New Roman" w:hAnsi="Times New Roman" w:eastAsia="宋体" w:cs="Times New Roman"/>
      <w:szCs w:val="24"/>
    </w:rPr>
  </w:style>
  <w:style w:type="paragraph" w:styleId="34">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2" Type="http://schemas.openxmlformats.org/officeDocument/2006/relationships/font" Target="fonts/font12.odttf"/><Relationship Id="rId11" Type="http://schemas.openxmlformats.org/officeDocument/2006/relationships/font" Target="fonts/font11.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跋涉">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凤舞九天">
      <a:fillStyleLst>
        <a:solidFill>
          <a:schemeClr val="phClr">
            <a:tint val="100000"/>
            <a:shade val="100000"/>
            <a:hueMod val="100000"/>
            <a:satMod val="100000"/>
          </a:schemeClr>
        </a:solidFill>
        <a:gradFill rotWithShape="1">
          <a:gsLst>
            <a:gs pos="0">
              <a:schemeClr val="phClr">
                <a:tint val="65000"/>
                <a:satMod val="180000"/>
              </a:schemeClr>
            </a:gs>
            <a:gs pos="50000">
              <a:schemeClr val="phClr">
                <a:tint val="40000"/>
                <a:satMod val="175000"/>
              </a:schemeClr>
            </a:gs>
            <a:gs pos="100000">
              <a:schemeClr val="phClr">
                <a:tint val="65000"/>
                <a:satMod val="180000"/>
              </a:schemeClr>
            </a:gs>
          </a:gsLst>
          <a:lin ang="0" scaled="1"/>
        </a:gradFill>
        <a:gradFill rotWithShape="1">
          <a:gsLst>
            <a:gs pos="0">
              <a:schemeClr val="phClr">
                <a:shade val="38000"/>
                <a:satMod val="150000"/>
              </a:schemeClr>
            </a:gs>
            <a:gs pos="50000">
              <a:schemeClr val="phClr">
                <a:shade val="100000"/>
                <a:satMod val="100000"/>
              </a:schemeClr>
            </a:gs>
            <a:gs pos="100000">
              <a:schemeClr val="phClr">
                <a:shade val="38000"/>
                <a:satMod val="150000"/>
              </a:schemeClr>
            </a:gs>
          </a:gsLst>
          <a:lin ang="0" scaled="1"/>
        </a:gradFill>
      </a:fillStyleLst>
      <a:lnStyleLst>
        <a:ln w="12700" cap="flat" cmpd="sng" algn="ctr">
          <a:solidFill>
            <a:schemeClr val="phClr"/>
          </a:solidFill>
          <a:prstDash val="solid"/>
        </a:ln>
        <a:ln w="25400" cap="flat" cmpd="sng" algn="ctr">
          <a:solidFill>
            <a:schemeClr val="phClr"/>
          </a:solidFill>
          <a:prstDash val="solid"/>
        </a:ln>
        <a:ln w="38100" cap="flat" cmpd="dbl" algn="ctr">
          <a:solidFill>
            <a:schemeClr val="phClr"/>
          </a:solidFill>
          <a:prstDash val="solid"/>
        </a:ln>
      </a:lnStyleLst>
      <a:effectStyleLst>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CoverPageProperties xmlns="http://schemas.microsoft.com/office/2006/coverPageProps">
  <PublishDate>2017</PublishDate>
  <Abstract/>
  <CompanyAddress/>
  <CompanyPhone/>
  <CompanyFax/>
  <CompanyEmail/>
</CoverPage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AF091B-3C7A-41E3-B477-F2FDAA23CFDA}">
  <ds:schemaRefs/>
</ds:datastoreItem>
</file>

<file path=customXml/itemProps3.xml><?xml version="1.0" encoding="utf-8"?>
<ds:datastoreItem xmlns:ds="http://schemas.openxmlformats.org/officeDocument/2006/customXml" ds:itemID="{B8FA8B64-E61D-4BB2-8D93-7302F10DFC49}">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31</Pages>
  <Words>1657</Words>
  <Characters>9447</Characters>
  <Lines>78</Lines>
  <Paragraphs>22</Paragraphs>
  <TotalTime>0</TotalTime>
  <ScaleCrop>false</ScaleCrop>
  <LinksUpToDate>false</LinksUpToDate>
  <CharactersWithSpaces>11082</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2019-09-26T01:09:00Z</dcterms:created>
  <dc:creator>User</dc:creator>
  <cp:lastModifiedBy>Young for you</cp:lastModifiedBy>
  <cp:lastPrinted>2019-09-27T00:42:00Z</cp:lastPrinted>
  <dcterms:modified xsi:type="dcterms:W3CDTF">2021-05-28T07:37:34Z</dcterms:modified>
  <dc:subject>石家庄市xxx部门</dc:subject>
  <dc:title>2017年度部门决算</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764A74ED7E1A4556BC78788A5EDAAC3E</vt:lpwstr>
  </property>
</Properties>
</file>